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4F7D12"/>
          <w:sz w:val="17"/>
          <w:spacing w:val="30"/>
        </w:rPr>
        <w:t>USO EXCLUSIVO DEL FACILITADOR · DS 44, ART. 16</w:t>
      </w:r>
    </w:p>
    <w:p>
      <w:pPr>
        <w:spacing w:after="120"/>
        <w:pBdr>
          <w:bottom w:val="single" w:sz="12" w:space="4" w:color="A7FF30"/>
        </w:pBdr>
      </w:pPr>
      <w:r>
        <w:rPr>
          <w:b/>
          <w:color w:val="0F1A14"/>
          <w:sz w:val="40"/>
        </w:rPr>
        <w:t>Pautas de corrección de las evaluaciones</w:t>
      </w:r>
    </w:p>
    <w:tbl>
      <w:tblPr>
        <w:tblW w:type="auto" w:w="0"/>
        <w:jc w:val="center"/>
        <w:tblLook w:firstColumn="1" w:firstRow="1" w:lastColumn="0" w:lastRow="0" w:noHBand="0" w:noVBand="1" w:val="04A0"/>
        <w:tblBorders>
          <w:top w:val="single" w:sz="4" w:space="0" w:color="C9D1C5"/>
          <w:left w:val="single" w:sz="4" w:space="0" w:color="C9D1C5"/>
          <w:bottom w:val="single" w:sz="4" w:space="0" w:color="C9D1C5"/>
          <w:right w:val="single" w:sz="4" w:space="0" w:color="C9D1C5"/>
          <w:insideH w:val="single" w:sz="4" w:space="0" w:color="C9D1C5"/>
          <w:insideV w:val="single" w:sz="4" w:space="0" w:color="C9D1C5"/>
        </w:tblBorders>
      </w:tblPr>
      <w:tblGrid>
        <w:gridCol w:w="1928"/>
        <w:gridCol w:w="1928"/>
        <w:gridCol w:w="1928"/>
        <w:gridCol w:w="1928"/>
        <w:gridCol w:w="1928"/>
      </w:tblGrid>
      <w:tr>
        <w:tc>
          <w:tcPr>
            <w:tcW w:type="dxa" w:w="1928"/>
            <w:shd w:val="clear" w:color="auto" w:fill="F1F4EF"/>
          </w:tcPr>
          <w:p>
            <w:pPr>
              <w:spacing w:after="40"/>
            </w:pPr>
            <w:r/>
            <w:r>
              <w:rPr>
                <w:b/>
                <w:color w:val="5F6C64"/>
                <w:sz w:val="17"/>
              </w:rPr>
              <w:t>Código</w:t>
            </w:r>
          </w:p>
        </w:tc>
        <w:tc>
          <w:tcPr>
            <w:tcW w:type="dxa" w:w="1928"/>
            <w:shd w:val="clear" w:color="auto" w:fill="F1F4EF"/>
          </w:tcPr>
          <w:p>
            <w:pPr>
              <w:spacing w:after="40"/>
            </w:pPr>
            <w:r/>
            <w:r>
              <w:rPr>
                <w:b/>
                <w:color w:val="5F6C64"/>
                <w:sz w:val="17"/>
              </w:rPr>
              <w:t>Versión</w:t>
            </w:r>
          </w:p>
        </w:tc>
        <w:tc>
          <w:tcPr>
            <w:tcW w:type="dxa" w:w="1928"/>
            <w:shd w:val="clear" w:color="auto" w:fill="F1F4EF"/>
          </w:tcPr>
          <w:p>
            <w:pPr>
              <w:spacing w:after="40"/>
            </w:pPr>
            <w:r/>
            <w:r>
              <w:rPr>
                <w:b/>
                <w:color w:val="5F6C64"/>
                <w:sz w:val="17"/>
              </w:rPr>
              <w:t>Fecha de emisión</w:t>
            </w:r>
          </w:p>
        </w:tc>
        <w:tc>
          <w:tcPr>
            <w:tcW w:type="dxa" w:w="1928"/>
            <w:shd w:val="clear" w:color="auto" w:fill="F1F4EF"/>
          </w:tcPr>
          <w:p>
            <w:pPr>
              <w:spacing w:after="40"/>
            </w:pPr>
            <w:r/>
            <w:r>
              <w:rPr>
                <w:b/>
                <w:color w:val="5F6C64"/>
                <w:sz w:val="17"/>
              </w:rPr>
              <w:t>Próxima revisión</w:t>
            </w:r>
          </w:p>
        </w:tc>
        <w:tc>
          <w:tcPr>
            <w:tcW w:type="dxa" w:w="1928"/>
            <w:shd w:val="clear" w:color="auto" w:fill="F1F4EF"/>
          </w:tcPr>
          <w:p>
            <w:pPr>
              <w:spacing w:after="40"/>
            </w:pPr>
            <w:r/>
            <w:r>
              <w:rPr>
                <w:b/>
                <w:color w:val="5F6C64"/>
                <w:sz w:val="17"/>
              </w:rPr>
              <w:t>Elaborado por</w:t>
            </w:r>
          </w:p>
        </w:tc>
      </w:tr>
      <w:tr>
        <w:tc>
          <w:tcPr>
            <w:tcW w:type="dxa" w:w="1928"/>
          </w:tcPr>
          <w:p>
            <w:pPr>
              <w:spacing w:after="40"/>
            </w:pPr>
            <w:r/>
            <w:r>
              <w:rPr>
                <w:b w:val="0"/>
                <w:sz w:val="18"/>
              </w:rPr>
              <w:t>VGZ-DESC-C8H-P</w:t>
            </w:r>
          </w:p>
        </w:tc>
        <w:tc>
          <w:tcPr>
            <w:tcW w:type="dxa" w:w="1928"/>
          </w:tcPr>
          <w:p>
            <w:pPr>
              <w:spacing w:after="40"/>
            </w:pPr>
            <w:r/>
            <w:r>
              <w:rPr>
                <w:b w:val="0"/>
                <w:sz w:val="18"/>
              </w:rPr>
              <w:t>2.0</w:t>
            </w:r>
          </w:p>
        </w:tc>
        <w:tc>
          <w:tcPr>
            <w:tcW w:type="dxa" w:w="1928"/>
          </w:tcPr>
          <w:p>
            <w:pPr>
              <w:spacing w:after="40"/>
            </w:pPr>
            <w:r/>
            <w:r>
              <w:rPr>
                <w:b w:val="0"/>
                <w:sz w:val="18"/>
              </w:rPr>
              <w:t>octubre de 2026</w:t>
            </w:r>
          </w:p>
        </w:tc>
        <w:tc>
          <w:tcPr>
            <w:tcW w:type="dxa" w:w="1928"/>
          </w:tcPr>
          <w:p>
            <w:pPr>
              <w:spacing w:after="40"/>
            </w:pPr>
            <w:r/>
            <w:r>
              <w:rPr>
                <w:b w:val="0"/>
                <w:sz w:val="18"/>
              </w:rPr>
              <w:t>Anual o ante un cambio de la Guía</w:t>
            </w:r>
          </w:p>
        </w:tc>
        <w:tc>
          <w:tcPr>
            <w:tcW w:type="dxa" w:w="1928"/>
          </w:tcPr>
          <w:p>
            <w:pPr>
              <w:spacing w:after="40"/>
            </w:pPr>
            <w:r/>
            <w:r>
              <w:rPr>
                <w:b w:val="0"/>
                <w:sz w:val="18"/>
              </w:rPr>
              <w:t>Vigenza SpA</w:t>
            </w:r>
          </w:p>
        </w:tc>
      </w:tr>
    </w:tbl>
    <w:p>
      <w:pPr>
        <w:spacing w:after="40"/>
      </w:pPr>
    </w:p>
    <w:p>
      <w:r>
        <w:rPr>
          <w:b/>
        </w:rPr>
        <w:t xml:space="preserve">No entregue este documento a los participantes. </w:t>
      </w:r>
      <w:r>
        <w:t>Las evaluaciones son formativas: la Guía pide verificar la comprensión de los contenidos y, si una persona no alcanza el resultado esperado, darle la posibilidad de repetir la evaluación las veces que sea necesario, sin que eso signifique reprobar ni quedar fuera del curso (Anexo Metodológico §1.2). Criterio orientativo de este material: «Logrado» cuando la persona responde correctamente al menos 7 de las 9 preguntas y justifica la pregunta de aplicación. La Guía no fija un puntaje: si usa otro criterio, déjelo escrito en el registro del curso.</w:t>
      </w:r>
    </w:p>
    <w:p>
      <w:pPr>
        <w:pStyle w:val="Heading2"/>
      </w:pPr>
      <w:r>
        <w:t>Módulo 1: Marco general de la seguridad y salud en el trabajo</w:t>
      </w:r>
    </w:p>
    <w:tbl>
      <w:tblPr>
        <w:tblW w:type="auto" w:w="0"/>
        <w:tblLook w:firstColumn="1" w:firstRow="1" w:lastColumn="0" w:lastRow="0" w:noHBand="0" w:noVBand="1" w:val="04A0"/>
        <w:tblBorders>
          <w:top w:val="single" w:sz="4" w:space="0" w:color="C9D1C5"/>
          <w:left w:val="single" w:sz="4" w:space="0" w:color="C9D1C5"/>
          <w:bottom w:val="single" w:sz="4" w:space="0" w:color="C9D1C5"/>
          <w:right w:val="single" w:sz="4" w:space="0" w:color="C9D1C5"/>
          <w:insideH w:val="single" w:sz="4" w:space="0" w:color="C9D1C5"/>
          <w:insideV w:val="single" w:sz="4" w:space="0" w:color="C9D1C5"/>
        </w:tblBorders>
      </w:tblPr>
      <w:tblGrid>
        <w:gridCol w:w="3213"/>
        <w:gridCol w:w="3213"/>
        <w:gridCol w:w="3213"/>
      </w:tblGrid>
      <w:tr>
        <w:trPr>
          <w:tblHeader w:val="true"/>
        </w:trPr>
        <w:tc>
          <w:tcPr>
            <w:tcW w:type="dxa" w:w="624"/>
            <w:shd w:val="clear" w:color="auto" w:fill="16281E"/>
          </w:tcPr>
          <w:p>
            <w:pPr>
              <w:spacing w:after="40"/>
            </w:pPr>
            <w:r/>
            <w:r>
              <w:rPr>
                <w:b/>
                <w:color w:val="FFFFFF"/>
                <w:sz w:val="18"/>
              </w:rPr>
              <w:t>N°</w:t>
            </w:r>
          </w:p>
        </w:tc>
        <w:tc>
          <w:tcPr>
            <w:tcW w:type="dxa" w:w="3402"/>
            <w:shd w:val="clear" w:color="auto" w:fill="16281E"/>
          </w:tcPr>
          <w:p>
            <w:pPr>
              <w:spacing w:after="40"/>
            </w:pPr>
            <w:r/>
            <w:r>
              <w:rPr>
                <w:b/>
                <w:color w:val="FFFFFF"/>
                <w:sz w:val="18"/>
              </w:rPr>
              <w:t>Correcta</w:t>
            </w:r>
          </w:p>
        </w:tc>
        <w:tc>
          <w:tcPr>
            <w:tcW w:type="dxa" w:w="5613"/>
            <w:shd w:val="clear" w:color="auto" w:fill="16281E"/>
          </w:tcPr>
          <w:p>
            <w:pPr>
              <w:spacing w:after="40"/>
            </w:pPr>
            <w:r/>
            <w:r>
              <w:rPr>
                <w:b/>
                <w:color w:val="FFFFFF"/>
                <w:sz w:val="18"/>
              </w:rPr>
              <w:t>Por qué</w:t>
            </w:r>
          </w:p>
        </w:tc>
      </w:tr>
      <w:tr>
        <w:trPr>
          <w:cantSplit w:val="true"/>
        </w:trPr>
        <w:tc>
          <w:tcPr>
            <w:tcW w:type="dxa" w:w="624"/>
          </w:tcPr>
          <w:p>
            <w:pPr>
              <w:spacing w:after="40"/>
            </w:pPr>
            <w:r/>
            <w:r>
              <w:rPr>
                <w:b/>
                <w:sz w:val="19"/>
              </w:rPr>
              <w:t>1</w:t>
            </w:r>
          </w:p>
        </w:tc>
        <w:tc>
          <w:tcPr>
            <w:tcW w:type="dxa" w:w="3402"/>
          </w:tcPr>
          <w:p>
            <w:pPr>
              <w:spacing w:after="40"/>
            </w:pPr>
            <w:r/>
            <w:r>
              <w:rPr>
                <w:b w:val="0"/>
                <w:sz w:val="19"/>
              </w:rPr>
              <w:t>A) Ley 16.744</w:t>
            </w:r>
          </w:p>
        </w:tc>
        <w:tc>
          <w:tcPr>
            <w:tcW w:type="dxa" w:w="5613"/>
          </w:tcPr>
          <w:p>
            <w:pPr>
              <w:spacing w:after="40"/>
            </w:pPr>
            <w:r/>
            <w:r>
              <w:rPr>
                <w:b w:val="0"/>
                <w:sz w:val="19"/>
              </w:rPr>
              <w:t>La Ley 16.744 crea el seguro obligatorio. La 21.643 trata el acoso y la violencia; el DS 594, las condiciones sanitarias del lugar.</w:t>
            </w:r>
          </w:p>
        </w:tc>
      </w:tr>
      <w:tr>
        <w:trPr>
          <w:cantSplit w:val="true"/>
        </w:trPr>
        <w:tc>
          <w:tcPr>
            <w:tcW w:type="dxa" w:w="624"/>
          </w:tcPr>
          <w:p>
            <w:pPr>
              <w:spacing w:after="40"/>
            </w:pPr>
            <w:r/>
            <w:r>
              <w:rPr>
                <w:b/>
                <w:sz w:val="19"/>
              </w:rPr>
              <w:t>2</w:t>
            </w:r>
          </w:p>
        </w:tc>
        <w:tc>
          <w:tcPr>
            <w:tcW w:type="dxa" w:w="3402"/>
          </w:tcPr>
          <w:p>
            <w:pPr>
              <w:spacing w:after="40"/>
            </w:pPr>
            <w:r/>
            <w:r>
              <w:rPr>
                <w:b w:val="0"/>
                <w:sz w:val="19"/>
              </w:rPr>
              <w:t>B) La entidad empleadora</w:t>
            </w:r>
          </w:p>
        </w:tc>
        <w:tc>
          <w:tcPr>
            <w:tcW w:type="dxa" w:w="5613"/>
          </w:tcPr>
          <w:p>
            <w:pPr>
              <w:spacing w:after="40"/>
            </w:pPr>
            <w:r/>
            <w:r>
              <w:rPr>
                <w:b w:val="0"/>
                <w:sz w:val="19"/>
              </w:rPr>
              <w:t>La responsabilidad es siempre de la entidad empleadora, aunque el curso lo dicte un tercero.</w:t>
            </w:r>
          </w:p>
        </w:tc>
      </w:tr>
      <w:tr>
        <w:trPr>
          <w:cantSplit w:val="true"/>
        </w:trPr>
        <w:tc>
          <w:tcPr>
            <w:tcW w:type="dxa" w:w="624"/>
          </w:tcPr>
          <w:p>
            <w:pPr>
              <w:spacing w:after="40"/>
            </w:pPr>
            <w:r/>
            <w:r>
              <w:rPr>
                <w:b/>
                <w:sz w:val="19"/>
              </w:rPr>
              <w:t>3</w:t>
            </w:r>
          </w:p>
        </w:tc>
        <w:tc>
          <w:tcPr>
            <w:tcW w:type="dxa" w:w="3402"/>
          </w:tcPr>
          <w:p>
            <w:pPr>
              <w:spacing w:after="40"/>
            </w:pPr>
            <w:r/>
            <w:r>
              <w:rPr>
                <w:b w:val="0"/>
                <w:sz w:val="19"/>
              </w:rPr>
              <w:t>C) Antes de que inicie sus labores</w:t>
            </w:r>
          </w:p>
        </w:tc>
        <w:tc>
          <w:tcPr>
            <w:tcW w:type="dxa" w:w="5613"/>
          </w:tcPr>
          <w:p>
            <w:pPr>
              <w:spacing w:after="40"/>
            </w:pPr>
            <w:r/>
            <w:r>
              <w:rPr>
                <w:b w:val="0"/>
                <w:sz w:val="19"/>
              </w:rPr>
              <w:t>El art. 15 del DS 44 exige informar los riesgos en forma oportuna, antes del inicio de las labores y ante nuevos procesos.</w:t>
            </w:r>
          </w:p>
        </w:tc>
      </w:tr>
      <w:tr>
        <w:trPr>
          <w:cantSplit w:val="true"/>
        </w:trPr>
        <w:tc>
          <w:tcPr>
            <w:tcW w:type="dxa" w:w="624"/>
          </w:tcPr>
          <w:p>
            <w:pPr>
              <w:spacing w:after="40"/>
            </w:pPr>
            <w:r/>
            <w:r>
              <w:rPr>
                <w:b/>
                <w:sz w:val="19"/>
              </w:rPr>
              <w:t>4</w:t>
            </w:r>
          </w:p>
        </w:tc>
        <w:tc>
          <w:tcPr>
            <w:tcW w:type="dxa" w:w="3402"/>
          </w:tcPr>
          <w:p>
            <w:pPr>
              <w:spacing w:after="40"/>
            </w:pPr>
            <w:r/>
            <w:r>
              <w:rPr>
                <w:b w:val="0"/>
                <w:sz w:val="19"/>
              </w:rPr>
              <w:t>A) Con la DIAT, que la entidad empleadora presenta al organismo administrador dentro de 24 horas</w:t>
            </w:r>
          </w:p>
        </w:tc>
        <w:tc>
          <w:tcPr>
            <w:tcW w:type="dxa" w:w="5613"/>
          </w:tcPr>
          <w:p>
            <w:pPr>
              <w:spacing w:after="40"/>
            </w:pPr>
            <w:r/>
            <w:r>
              <w:rPr>
                <w:b w:val="0"/>
                <w:sz w:val="19"/>
              </w:rPr>
              <w:t>La DIAT se presenta dentro de 24 horas desde que se conoce el accidente. Si la entidad empleadora no lo hace, puede hacerlo la persona afectada.</w:t>
            </w:r>
          </w:p>
        </w:tc>
      </w:tr>
      <w:tr>
        <w:trPr>
          <w:cantSplit w:val="true"/>
        </w:trPr>
        <w:tc>
          <w:tcPr>
            <w:tcW w:type="dxa" w:w="624"/>
          </w:tcPr>
          <w:p>
            <w:pPr>
              <w:spacing w:after="40"/>
            </w:pPr>
            <w:r/>
            <w:r>
              <w:rPr>
                <w:b/>
                <w:sz w:val="19"/>
              </w:rPr>
              <w:t>5</w:t>
            </w:r>
          </w:p>
        </w:tc>
        <w:tc>
          <w:tcPr>
            <w:tcW w:type="dxa" w:w="3402"/>
          </w:tcPr>
          <w:p>
            <w:pPr>
              <w:spacing w:after="40"/>
            </w:pPr>
            <w:r/>
            <w:r>
              <w:rPr>
                <w:b w:val="0"/>
                <w:sz w:val="19"/>
              </w:rPr>
              <w:t>B) Detener la tarea y evacuar si el riesgo no puede eliminarse</w:t>
            </w:r>
          </w:p>
        </w:tc>
        <w:tc>
          <w:tcPr>
            <w:tcW w:type="dxa" w:w="5613"/>
          </w:tcPr>
          <w:p>
            <w:pPr>
              <w:spacing w:after="40"/>
            </w:pPr>
            <w:r/>
            <w:r>
              <w:rPr>
                <w:b w:val="0"/>
                <w:sz w:val="19"/>
              </w:rPr>
              <w:t>El art. 18 del DS 44 exige suspender la faena y evacuar si el riesgo no puede eliminarse o atenuarse.</w:t>
            </w:r>
          </w:p>
        </w:tc>
      </w:tr>
      <w:tr>
        <w:trPr>
          <w:cantSplit w:val="true"/>
        </w:trPr>
        <w:tc>
          <w:tcPr>
            <w:tcW w:type="dxa" w:w="624"/>
          </w:tcPr>
          <w:p>
            <w:pPr>
              <w:spacing w:after="40"/>
            </w:pPr>
            <w:r/>
            <w:r>
              <w:rPr>
                <w:b/>
                <w:sz w:val="19"/>
              </w:rPr>
              <w:t>6</w:t>
            </w:r>
          </w:p>
        </w:tc>
        <w:tc>
          <w:tcPr>
            <w:tcW w:type="dxa" w:w="3402"/>
          </w:tcPr>
          <w:p>
            <w:pPr>
              <w:spacing w:after="40"/>
            </w:pPr>
            <w:r/>
            <w:r>
              <w:rPr>
                <w:b w:val="0"/>
                <w:sz w:val="19"/>
              </w:rPr>
              <w:t>C) Más de 25</w:t>
            </w:r>
          </w:p>
        </w:tc>
        <w:tc>
          <w:tcPr>
            <w:tcW w:type="dxa" w:w="5613"/>
          </w:tcPr>
          <w:p>
            <w:pPr>
              <w:spacing w:after="40"/>
            </w:pPr>
            <w:r/>
            <w:r>
              <w:rPr>
                <w:b w:val="0"/>
                <w:sz w:val="19"/>
              </w:rPr>
              <w:t>El art. 23 del DS 44 lo exige con más de 25 personas. Entre 10 y 25 personas se elige un Delegado de Seguridad y Salud en el Trabajo (art. 66).</w:t>
            </w:r>
          </w:p>
        </w:tc>
      </w:tr>
      <w:tr>
        <w:trPr>
          <w:cantSplit w:val="true"/>
        </w:trPr>
        <w:tc>
          <w:tcPr>
            <w:tcW w:type="dxa" w:w="624"/>
          </w:tcPr>
          <w:p>
            <w:pPr>
              <w:spacing w:after="40"/>
            </w:pPr>
            <w:r/>
            <w:r>
              <w:rPr>
                <w:b/>
                <w:sz w:val="19"/>
              </w:rPr>
              <w:t>7</w:t>
            </w:r>
          </w:p>
        </w:tc>
        <w:tc>
          <w:tcPr>
            <w:tcW w:type="dxa" w:w="3402"/>
          </w:tcPr>
          <w:p>
            <w:pPr>
              <w:spacing w:after="40"/>
            </w:pPr>
            <w:r/>
            <w:r>
              <w:rPr>
                <w:b w:val="0"/>
                <w:sz w:val="19"/>
              </w:rPr>
              <w:t>B) Avisar de inmediato de una condición insegura</w:t>
            </w:r>
          </w:p>
        </w:tc>
        <w:tc>
          <w:tcPr>
            <w:tcW w:type="dxa" w:w="5613"/>
          </w:tcPr>
          <w:p>
            <w:pPr>
              <w:spacing w:after="40"/>
            </w:pPr>
            <w:r/>
            <w:r>
              <w:rPr>
                <w:b w:val="0"/>
                <w:sz w:val="19"/>
              </w:rPr>
              <w:t>Avisar de condiciones inseguras, accidentes e incidentes es un deber; las otras tres son derechos.</w:t>
            </w:r>
          </w:p>
        </w:tc>
      </w:tr>
      <w:tr>
        <w:trPr>
          <w:cantSplit w:val="true"/>
        </w:trPr>
        <w:tc>
          <w:tcPr>
            <w:tcW w:type="dxa" w:w="624"/>
          </w:tcPr>
          <w:p>
            <w:pPr>
              <w:spacing w:after="40"/>
            </w:pPr>
            <w:r/>
            <w:r>
              <w:rPr>
                <w:b/>
                <w:sz w:val="19"/>
              </w:rPr>
              <w:t>8</w:t>
            </w:r>
          </w:p>
        </w:tc>
        <w:tc>
          <w:tcPr>
            <w:tcW w:type="dxa" w:w="3402"/>
          </w:tcPr>
          <w:p>
            <w:pPr>
              <w:spacing w:after="40"/>
            </w:pPr>
            <w:r/>
            <w:r>
              <w:rPr>
                <w:b w:val="0"/>
                <w:sz w:val="19"/>
              </w:rPr>
              <w:t>B) Sin costo para la persona trabajadora</w:t>
            </w:r>
          </w:p>
        </w:tc>
        <w:tc>
          <w:tcPr>
            <w:tcW w:type="dxa" w:w="5613"/>
          </w:tcPr>
          <w:p>
            <w:pPr>
              <w:spacing w:after="40"/>
            </w:pPr>
            <w:r/>
            <w:r>
              <w:rPr>
                <w:b w:val="0"/>
                <w:sz w:val="19"/>
              </w:rPr>
              <w:t>La entidad empleadora entrega los elementos de protección personal sin costo.</w:t>
            </w:r>
          </w:p>
        </w:tc>
      </w:tr>
      <w:tr>
        <w:trPr>
          <w:cantSplit w:val="true"/>
        </w:trPr>
        <w:tc>
          <w:tcPr>
            <w:tcW w:type="dxa" w:w="624"/>
          </w:tcPr>
          <w:p>
            <w:pPr>
              <w:spacing w:after="40"/>
            </w:pPr>
            <w:r/>
            <w:r>
              <w:rPr>
                <w:b/>
                <w:sz w:val="19"/>
              </w:rPr>
              <w:t>9</w:t>
            </w:r>
          </w:p>
        </w:tc>
        <w:tc>
          <w:tcPr>
            <w:tcW w:type="dxa" w:w="3402"/>
          </w:tcPr>
          <w:p>
            <w:pPr>
              <w:spacing w:after="40"/>
            </w:pPr>
            <w:r/>
            <w:r>
              <w:rPr>
                <w:b w:val="0"/>
                <w:sz w:val="19"/>
              </w:rPr>
              <w:t>B) Considera tallas, embarazo y movilidad reducida</w:t>
            </w:r>
          </w:p>
        </w:tc>
        <w:tc>
          <w:tcPr>
            <w:tcW w:type="dxa" w:w="5613"/>
          </w:tcPr>
          <w:p>
            <w:pPr>
              <w:spacing w:after="40"/>
            </w:pPr>
            <w:r/>
            <w:r>
              <w:rPr>
                <w:b w:val="0"/>
                <w:sz w:val="19"/>
              </w:rPr>
              <w:t>La Guía incorpora los enfoques de género y de accesibilidad: la protección debe alcanzar a todas las personas.</w:t>
            </w:r>
          </w:p>
        </w:tc>
      </w:tr>
    </w:tbl>
    <w:p>
      <w:pPr>
        <w:spacing w:before="120"/>
      </w:pPr>
      <w:r>
        <w:rPr>
          <w:b/>
        </w:rPr>
        <w:t xml:space="preserve">Pregunta de aplicación. </w:t>
      </w:r>
      <w:r>
        <w:t>Respuesta correcta si identifica un derecho (informarse, detener la tarea, recibir EPP) y un deber (avisar, usar el EPP, cumplir la instrucción) y relaciona ambos con una acción concreta.</w:t>
      </w:r>
    </w:p>
    <w:p>
      <w:pPr>
        <w:pStyle w:val="Heading2"/>
      </w:pPr>
      <w:r>
        <w:t>Módulo 2: Identificación de peligros y evaluación de riesgos</w:t>
      </w:r>
    </w:p>
    <w:tbl>
      <w:tblPr>
        <w:tblW w:type="auto" w:w="0"/>
        <w:tblLook w:firstColumn="1" w:firstRow="1" w:lastColumn="0" w:lastRow="0" w:noHBand="0" w:noVBand="1" w:val="04A0"/>
        <w:tblBorders>
          <w:top w:val="single" w:sz="4" w:space="0" w:color="C9D1C5"/>
          <w:left w:val="single" w:sz="4" w:space="0" w:color="C9D1C5"/>
          <w:bottom w:val="single" w:sz="4" w:space="0" w:color="C9D1C5"/>
          <w:right w:val="single" w:sz="4" w:space="0" w:color="C9D1C5"/>
          <w:insideH w:val="single" w:sz="4" w:space="0" w:color="C9D1C5"/>
          <w:insideV w:val="single" w:sz="4" w:space="0" w:color="C9D1C5"/>
        </w:tblBorders>
      </w:tblPr>
      <w:tblGrid>
        <w:gridCol w:w="3213"/>
        <w:gridCol w:w="3213"/>
        <w:gridCol w:w="3213"/>
      </w:tblGrid>
      <w:tr>
        <w:trPr>
          <w:tblHeader w:val="true"/>
        </w:trPr>
        <w:tc>
          <w:tcPr>
            <w:tcW w:type="dxa" w:w="624"/>
            <w:shd w:val="clear" w:color="auto" w:fill="16281E"/>
          </w:tcPr>
          <w:p>
            <w:pPr>
              <w:spacing w:after="40"/>
            </w:pPr>
            <w:r/>
            <w:r>
              <w:rPr>
                <w:b/>
                <w:color w:val="FFFFFF"/>
                <w:sz w:val="18"/>
              </w:rPr>
              <w:t>N°</w:t>
            </w:r>
          </w:p>
        </w:tc>
        <w:tc>
          <w:tcPr>
            <w:tcW w:type="dxa" w:w="3402"/>
            <w:shd w:val="clear" w:color="auto" w:fill="16281E"/>
          </w:tcPr>
          <w:p>
            <w:pPr>
              <w:spacing w:after="40"/>
            </w:pPr>
            <w:r/>
            <w:r>
              <w:rPr>
                <w:b/>
                <w:color w:val="FFFFFF"/>
                <w:sz w:val="18"/>
              </w:rPr>
              <w:t>Correcta</w:t>
            </w:r>
          </w:p>
        </w:tc>
        <w:tc>
          <w:tcPr>
            <w:tcW w:type="dxa" w:w="5613"/>
            <w:shd w:val="clear" w:color="auto" w:fill="16281E"/>
          </w:tcPr>
          <w:p>
            <w:pPr>
              <w:spacing w:after="40"/>
            </w:pPr>
            <w:r/>
            <w:r>
              <w:rPr>
                <w:b/>
                <w:color w:val="FFFFFF"/>
                <w:sz w:val="18"/>
              </w:rPr>
              <w:t>Por qué</w:t>
            </w:r>
          </w:p>
        </w:tc>
      </w:tr>
      <w:tr>
        <w:trPr>
          <w:cantSplit w:val="true"/>
        </w:trPr>
        <w:tc>
          <w:tcPr>
            <w:tcW w:type="dxa" w:w="624"/>
          </w:tcPr>
          <w:p>
            <w:pPr>
              <w:spacing w:after="40"/>
            </w:pPr>
            <w:r/>
            <w:r>
              <w:rPr>
                <w:b/>
                <w:sz w:val="19"/>
              </w:rPr>
              <w:t>1</w:t>
            </w:r>
          </w:p>
        </w:tc>
        <w:tc>
          <w:tcPr>
            <w:tcW w:type="dxa" w:w="3402"/>
          </w:tcPr>
          <w:p>
            <w:pPr>
              <w:spacing w:after="40"/>
            </w:pPr>
            <w:r/>
            <w:r>
              <w:rPr>
                <w:b w:val="0"/>
                <w:sz w:val="19"/>
              </w:rPr>
              <w:t>B) Una fuente, situación o acto con potencial de causar daño</w:t>
            </w:r>
          </w:p>
        </w:tc>
        <w:tc>
          <w:tcPr>
            <w:tcW w:type="dxa" w:w="5613"/>
          </w:tcPr>
          <w:p>
            <w:pPr>
              <w:spacing w:after="40"/>
            </w:pPr>
            <w:r/>
            <w:r>
              <w:rPr>
                <w:b w:val="0"/>
                <w:sz w:val="19"/>
              </w:rPr>
              <w:t>El peligro es la fuente de daño. La probabilidad combinada con la gravedad es el riesgo.</w:t>
            </w:r>
          </w:p>
        </w:tc>
      </w:tr>
      <w:tr>
        <w:trPr>
          <w:cantSplit w:val="true"/>
        </w:trPr>
        <w:tc>
          <w:tcPr>
            <w:tcW w:type="dxa" w:w="624"/>
          </w:tcPr>
          <w:p>
            <w:pPr>
              <w:spacing w:after="40"/>
            </w:pPr>
            <w:r/>
            <w:r>
              <w:rPr>
                <w:b/>
                <w:sz w:val="19"/>
              </w:rPr>
              <w:t>2</w:t>
            </w:r>
          </w:p>
        </w:tc>
        <w:tc>
          <w:tcPr>
            <w:tcW w:type="dxa" w:w="3402"/>
          </w:tcPr>
          <w:p>
            <w:pPr>
              <w:spacing w:after="40"/>
            </w:pPr>
            <w:r/>
            <w:r>
              <w:rPr>
                <w:b w:val="0"/>
                <w:sz w:val="19"/>
              </w:rPr>
              <w:t>C) De seguridad</w:t>
            </w:r>
          </w:p>
        </w:tc>
        <w:tc>
          <w:tcPr>
            <w:tcW w:type="dxa" w:w="5613"/>
          </w:tcPr>
          <w:p>
            <w:pPr>
              <w:spacing w:after="40"/>
            </w:pPr>
            <w:r/>
            <w:r>
              <w:rPr>
                <w:b w:val="0"/>
                <w:sz w:val="19"/>
              </w:rPr>
              <w:t>Las caídas al mismo nivel son un peligro de seguridad.</w:t>
            </w:r>
          </w:p>
        </w:tc>
      </w:tr>
      <w:tr>
        <w:trPr>
          <w:cantSplit w:val="true"/>
        </w:trPr>
        <w:tc>
          <w:tcPr>
            <w:tcW w:type="dxa" w:w="624"/>
          </w:tcPr>
          <w:p>
            <w:pPr>
              <w:spacing w:after="40"/>
            </w:pPr>
            <w:r/>
            <w:r>
              <w:rPr>
                <w:b/>
                <w:sz w:val="19"/>
              </w:rPr>
              <w:t>3</w:t>
            </w:r>
          </w:p>
        </w:tc>
        <w:tc>
          <w:tcPr>
            <w:tcW w:type="dxa" w:w="3402"/>
          </w:tcPr>
          <w:p>
            <w:pPr>
              <w:spacing w:after="40"/>
            </w:pPr>
            <w:r/>
            <w:r>
              <w:rPr>
                <w:b w:val="0"/>
                <w:sz w:val="19"/>
              </w:rPr>
              <w:t>A) Higiénicos</w:t>
            </w:r>
          </w:p>
        </w:tc>
        <w:tc>
          <w:tcPr>
            <w:tcW w:type="dxa" w:w="5613"/>
          </w:tcPr>
          <w:p>
            <w:pPr>
              <w:spacing w:after="40"/>
            </w:pPr>
            <w:r/>
            <w:r>
              <w:rPr>
                <w:b w:val="0"/>
                <w:sz w:val="19"/>
              </w:rPr>
              <w:t>El ruido es un agente físico y entra en la familia de peligros higiénicos, igual que la radiación UV, el calor, los polvos y los virus.</w:t>
            </w:r>
          </w:p>
        </w:tc>
      </w:tr>
      <w:tr>
        <w:trPr>
          <w:cantSplit w:val="true"/>
        </w:trPr>
        <w:tc>
          <w:tcPr>
            <w:tcW w:type="dxa" w:w="624"/>
          </w:tcPr>
          <w:p>
            <w:pPr>
              <w:spacing w:after="40"/>
            </w:pPr>
            <w:r/>
            <w:r>
              <w:rPr>
                <w:b/>
                <w:sz w:val="19"/>
              </w:rPr>
              <w:t>4</w:t>
            </w:r>
          </w:p>
        </w:tc>
        <w:tc>
          <w:tcPr>
            <w:tcW w:type="dxa" w:w="3402"/>
          </w:tcPr>
          <w:p>
            <w:pPr>
              <w:spacing w:after="40"/>
            </w:pPr>
            <w:r/>
            <w:r>
              <w:rPr>
                <w:b w:val="0"/>
                <w:sz w:val="19"/>
              </w:rPr>
              <w:t>B) Músculo-esqueléticos</w:t>
            </w:r>
          </w:p>
        </w:tc>
        <w:tc>
          <w:tcPr>
            <w:tcW w:type="dxa" w:w="5613"/>
          </w:tcPr>
          <w:p>
            <w:pPr>
              <w:spacing w:after="40"/>
            </w:pPr>
            <w:r/>
            <w:r>
              <w:rPr>
                <w:b w:val="0"/>
                <w:sz w:val="19"/>
              </w:rPr>
              <w:t>El manejo manual de cargas, las posturas forzadas y la repetición son peligros músculo-esqueléticos.</w:t>
            </w:r>
          </w:p>
        </w:tc>
      </w:tr>
      <w:tr>
        <w:trPr>
          <w:cantSplit w:val="true"/>
        </w:trPr>
        <w:tc>
          <w:tcPr>
            <w:tcW w:type="dxa" w:w="624"/>
          </w:tcPr>
          <w:p>
            <w:pPr>
              <w:spacing w:after="40"/>
            </w:pPr>
            <w:r/>
            <w:r>
              <w:rPr>
                <w:b/>
                <w:sz w:val="19"/>
              </w:rPr>
              <w:t>5</w:t>
            </w:r>
          </w:p>
        </w:tc>
        <w:tc>
          <w:tcPr>
            <w:tcW w:type="dxa" w:w="3402"/>
          </w:tcPr>
          <w:p>
            <w:pPr>
              <w:spacing w:after="40"/>
            </w:pPr>
            <w:r/>
            <w:r>
              <w:rPr>
                <w:b w:val="0"/>
                <w:sz w:val="19"/>
              </w:rPr>
              <w:t>A) Psicosociales</w:t>
            </w:r>
          </w:p>
        </w:tc>
        <w:tc>
          <w:tcPr>
            <w:tcW w:type="dxa" w:w="5613"/>
          </w:tcPr>
          <w:p>
            <w:pPr>
              <w:spacing w:after="40"/>
            </w:pPr>
            <w:r/>
            <w:r>
              <w:rPr>
                <w:b w:val="0"/>
                <w:sz w:val="19"/>
              </w:rPr>
              <w:t>Son peligros psicosociales, y también deben evaluarse y controlarse.</w:t>
            </w:r>
          </w:p>
        </w:tc>
      </w:tr>
      <w:tr>
        <w:trPr>
          <w:cantSplit w:val="true"/>
        </w:trPr>
        <w:tc>
          <w:tcPr>
            <w:tcW w:type="dxa" w:w="624"/>
          </w:tcPr>
          <w:p>
            <w:pPr>
              <w:spacing w:after="40"/>
            </w:pPr>
            <w:r/>
            <w:r>
              <w:rPr>
                <w:b/>
                <w:sz w:val="19"/>
              </w:rPr>
              <w:t>6</w:t>
            </w:r>
          </w:p>
        </w:tc>
        <w:tc>
          <w:tcPr>
            <w:tcW w:type="dxa" w:w="3402"/>
          </w:tcPr>
          <w:p>
            <w:pPr>
              <w:spacing w:after="40"/>
            </w:pPr>
            <w:r/>
            <w:r>
              <w:rPr>
                <w:b w:val="0"/>
                <w:sz w:val="19"/>
              </w:rPr>
              <w:t>B) Pudo causar daño y no lo causó</w:t>
            </w:r>
          </w:p>
        </w:tc>
        <w:tc>
          <w:tcPr>
            <w:tcW w:type="dxa" w:w="5613"/>
          </w:tcPr>
          <w:p>
            <w:pPr>
              <w:spacing w:after="40"/>
            </w:pPr>
            <w:r/>
            <w:r>
              <w:rPr>
                <w:b w:val="0"/>
                <w:sz w:val="19"/>
              </w:rPr>
              <w:t>Aunque no hubo daño, reportarlo permite corregir la causa antes de que haya un accidente.</w:t>
            </w:r>
          </w:p>
        </w:tc>
      </w:tr>
      <w:tr>
        <w:trPr>
          <w:cantSplit w:val="true"/>
        </w:trPr>
        <w:tc>
          <w:tcPr>
            <w:tcW w:type="dxa" w:w="624"/>
          </w:tcPr>
          <w:p>
            <w:pPr>
              <w:spacing w:after="40"/>
            </w:pPr>
            <w:r/>
            <w:r>
              <w:rPr>
                <w:b/>
                <w:sz w:val="19"/>
              </w:rPr>
              <w:t>7</w:t>
            </w:r>
          </w:p>
        </w:tc>
        <w:tc>
          <w:tcPr>
            <w:tcW w:type="dxa" w:w="3402"/>
          </w:tcPr>
          <w:p>
            <w:pPr>
              <w:spacing w:after="40"/>
            </w:pPr>
            <w:r/>
            <w:r>
              <w:rPr>
                <w:b w:val="0"/>
                <w:sz w:val="19"/>
              </w:rPr>
              <w:t>A) Matriz de Identificación de Peligros y Evaluación de Riesgos</w:t>
            </w:r>
          </w:p>
        </w:tc>
        <w:tc>
          <w:tcPr>
            <w:tcW w:type="dxa" w:w="5613"/>
          </w:tcPr>
          <w:p>
            <w:pPr>
              <w:spacing w:after="40"/>
            </w:pPr>
            <w:r/>
            <w:r>
              <w:rPr>
                <w:b w:val="0"/>
                <w:sz w:val="19"/>
              </w:rPr>
              <w:t>MIPER es la Matriz de Identificación de Peligros y Evaluación de Riesgos.</w:t>
            </w:r>
          </w:p>
        </w:tc>
      </w:tr>
      <w:tr>
        <w:trPr>
          <w:cantSplit w:val="true"/>
        </w:trPr>
        <w:tc>
          <w:tcPr>
            <w:tcW w:type="dxa" w:w="624"/>
          </w:tcPr>
          <w:p>
            <w:pPr>
              <w:spacing w:after="40"/>
            </w:pPr>
            <w:r/>
            <w:r>
              <w:rPr>
                <w:b/>
                <w:sz w:val="19"/>
              </w:rPr>
              <w:t>8</w:t>
            </w:r>
          </w:p>
        </w:tc>
        <w:tc>
          <w:tcPr>
            <w:tcW w:type="dxa" w:w="3402"/>
          </w:tcPr>
          <w:p>
            <w:pPr>
              <w:spacing w:after="40"/>
            </w:pPr>
            <w:r/>
            <w:r>
              <w:rPr>
                <w:b w:val="0"/>
                <w:sz w:val="19"/>
              </w:rPr>
              <w:t>B) Antes del inicio de labores y ante nuevos procesos, tecnologías o sustancias</w:t>
            </w:r>
          </w:p>
        </w:tc>
        <w:tc>
          <w:tcPr>
            <w:tcW w:type="dxa" w:w="5613"/>
          </w:tcPr>
          <w:p>
            <w:pPr>
              <w:spacing w:after="40"/>
            </w:pPr>
            <w:r/>
            <w:r>
              <w:rPr>
                <w:b w:val="0"/>
                <w:sz w:val="19"/>
              </w:rPr>
              <w:t>La información debe ser oportuna y adecuada: antes de empezar y cada vez que el trabajo cambia.</w:t>
            </w:r>
          </w:p>
        </w:tc>
      </w:tr>
      <w:tr>
        <w:trPr>
          <w:cantSplit w:val="true"/>
        </w:trPr>
        <w:tc>
          <w:tcPr>
            <w:tcW w:type="dxa" w:w="624"/>
          </w:tcPr>
          <w:p>
            <w:pPr>
              <w:spacing w:after="40"/>
            </w:pPr>
            <w:r/>
            <w:r>
              <w:rPr>
                <w:b/>
                <w:sz w:val="19"/>
              </w:rPr>
              <w:t>9</w:t>
            </w:r>
          </w:p>
        </w:tc>
        <w:tc>
          <w:tcPr>
            <w:tcW w:type="dxa" w:w="3402"/>
          </w:tcPr>
          <w:p>
            <w:pPr>
              <w:spacing w:after="40"/>
            </w:pPr>
            <w:r/>
            <w:r>
              <w:rPr>
                <w:b w:val="0"/>
                <w:sz w:val="19"/>
              </w:rPr>
              <w:t>A) Un dibujo o esquema del lugar de trabajo con los principales riesgos marcados</w:t>
            </w:r>
          </w:p>
        </w:tc>
        <w:tc>
          <w:tcPr>
            <w:tcW w:type="dxa" w:w="5613"/>
          </w:tcPr>
          <w:p>
            <w:pPr>
              <w:spacing w:after="40"/>
            </w:pPr>
            <w:r/>
            <w:r>
              <w:rPr>
                <w:b w:val="0"/>
                <w:sz w:val="19"/>
              </w:rPr>
              <w:t>El art. 62 del DS 44 lo exige con un esquema del lugar y los riesgos de la MIPER, en sitios visibles.</w:t>
            </w:r>
          </w:p>
        </w:tc>
      </w:tr>
    </w:tbl>
    <w:p>
      <w:pPr>
        <w:spacing w:before="120"/>
      </w:pPr>
      <w:r>
        <w:rPr>
          <w:b/>
        </w:rPr>
        <w:t xml:space="preserve">Pregunta de aplicación. </w:t>
      </w:r>
      <w:r>
        <w:t>Respuesta correcta si separa el peligro (fuente) del riesgo (qué puede pasar) y de la consecuencia (lesión o enfermedad), con un ejemplo de su propio puesto.</w:t>
      </w:r>
    </w:p>
    <w:p>
      <w:pPr>
        <w:pStyle w:val="Heading2"/>
      </w:pPr>
      <w:r>
        <w:t>Módulo 3: Efectos de los riesgos en la salud y prestaciones del seguro</w:t>
      </w:r>
    </w:p>
    <w:tbl>
      <w:tblPr>
        <w:tblW w:type="auto" w:w="0"/>
        <w:tblLook w:firstColumn="1" w:firstRow="1" w:lastColumn="0" w:lastRow="0" w:noHBand="0" w:noVBand="1" w:val="04A0"/>
        <w:tblBorders>
          <w:top w:val="single" w:sz="4" w:space="0" w:color="C9D1C5"/>
          <w:left w:val="single" w:sz="4" w:space="0" w:color="C9D1C5"/>
          <w:bottom w:val="single" w:sz="4" w:space="0" w:color="C9D1C5"/>
          <w:right w:val="single" w:sz="4" w:space="0" w:color="C9D1C5"/>
          <w:insideH w:val="single" w:sz="4" w:space="0" w:color="C9D1C5"/>
          <w:insideV w:val="single" w:sz="4" w:space="0" w:color="C9D1C5"/>
        </w:tblBorders>
      </w:tblPr>
      <w:tblGrid>
        <w:gridCol w:w="3213"/>
        <w:gridCol w:w="3213"/>
        <w:gridCol w:w="3213"/>
      </w:tblGrid>
      <w:tr>
        <w:trPr>
          <w:tblHeader w:val="true"/>
        </w:trPr>
        <w:tc>
          <w:tcPr>
            <w:tcW w:type="dxa" w:w="624"/>
            <w:shd w:val="clear" w:color="auto" w:fill="16281E"/>
          </w:tcPr>
          <w:p>
            <w:pPr>
              <w:spacing w:after="40"/>
            </w:pPr>
            <w:r/>
            <w:r>
              <w:rPr>
                <w:b/>
                <w:color w:val="FFFFFF"/>
                <w:sz w:val="18"/>
              </w:rPr>
              <w:t>N°</w:t>
            </w:r>
          </w:p>
        </w:tc>
        <w:tc>
          <w:tcPr>
            <w:tcW w:type="dxa" w:w="3402"/>
            <w:shd w:val="clear" w:color="auto" w:fill="16281E"/>
          </w:tcPr>
          <w:p>
            <w:pPr>
              <w:spacing w:after="40"/>
            </w:pPr>
            <w:r/>
            <w:r>
              <w:rPr>
                <w:b/>
                <w:color w:val="FFFFFF"/>
                <w:sz w:val="18"/>
              </w:rPr>
              <w:t>Correcta</w:t>
            </w:r>
          </w:p>
        </w:tc>
        <w:tc>
          <w:tcPr>
            <w:tcW w:type="dxa" w:w="5613"/>
            <w:shd w:val="clear" w:color="auto" w:fill="16281E"/>
          </w:tcPr>
          <w:p>
            <w:pPr>
              <w:spacing w:after="40"/>
            </w:pPr>
            <w:r/>
            <w:r>
              <w:rPr>
                <w:b/>
                <w:color w:val="FFFFFF"/>
                <w:sz w:val="18"/>
              </w:rPr>
              <w:t>Por qué</w:t>
            </w:r>
          </w:p>
        </w:tc>
      </w:tr>
      <w:tr>
        <w:trPr>
          <w:cantSplit w:val="true"/>
        </w:trPr>
        <w:tc>
          <w:tcPr>
            <w:tcW w:type="dxa" w:w="624"/>
          </w:tcPr>
          <w:p>
            <w:pPr>
              <w:spacing w:after="40"/>
            </w:pPr>
            <w:r/>
            <w:r>
              <w:rPr>
                <w:b/>
                <w:sz w:val="19"/>
              </w:rPr>
              <w:t>1</w:t>
            </w:r>
          </w:p>
        </w:tc>
        <w:tc>
          <w:tcPr>
            <w:tcW w:type="dxa" w:w="3402"/>
          </w:tcPr>
          <w:p>
            <w:pPr>
              <w:spacing w:after="40"/>
            </w:pPr>
            <w:r/>
            <w:r>
              <w:rPr>
                <w:b w:val="0"/>
                <w:sz w:val="19"/>
              </w:rPr>
              <w:t>B) A causa o con ocasión del trabajo y que le produce incapacidad o muerte</w:t>
            </w:r>
          </w:p>
        </w:tc>
        <w:tc>
          <w:tcPr>
            <w:tcW w:type="dxa" w:w="5613"/>
          </w:tcPr>
          <w:p>
            <w:pPr>
              <w:spacing w:after="40"/>
            </w:pPr>
            <w:r/>
            <w:r>
              <w:rPr>
                <w:b w:val="0"/>
                <w:sz w:val="19"/>
              </w:rPr>
              <w:t>Así lo define el art. 5 de la Ley 16.744.</w:t>
            </w:r>
          </w:p>
        </w:tc>
      </w:tr>
      <w:tr>
        <w:trPr>
          <w:cantSplit w:val="true"/>
        </w:trPr>
        <w:tc>
          <w:tcPr>
            <w:tcW w:type="dxa" w:w="624"/>
          </w:tcPr>
          <w:p>
            <w:pPr>
              <w:spacing w:after="40"/>
            </w:pPr>
            <w:r/>
            <w:r>
              <w:rPr>
                <w:b/>
                <w:sz w:val="19"/>
              </w:rPr>
              <w:t>2</w:t>
            </w:r>
          </w:p>
        </w:tc>
        <w:tc>
          <w:tcPr>
            <w:tcW w:type="dxa" w:w="3402"/>
          </w:tcPr>
          <w:p>
            <w:pPr>
              <w:spacing w:after="40"/>
            </w:pPr>
            <w:r/>
            <w:r>
              <w:rPr>
                <w:b w:val="0"/>
                <w:sz w:val="19"/>
              </w:rPr>
              <w:t>B) En el trayecto directo entre la habitación y el lugar de trabajo, o a la inversa</w:t>
            </w:r>
          </w:p>
        </w:tc>
        <w:tc>
          <w:tcPr>
            <w:tcW w:type="dxa" w:w="5613"/>
          </w:tcPr>
          <w:p>
            <w:pPr>
              <w:spacing w:after="40"/>
            </w:pPr>
            <w:r/>
            <w:r>
              <w:rPr>
                <w:b w:val="0"/>
                <w:sz w:val="19"/>
              </w:rPr>
              <w:t>Debe ocurrir en el trayecto directo entre la casa y el trabajo.</w:t>
            </w:r>
          </w:p>
        </w:tc>
      </w:tr>
      <w:tr>
        <w:trPr>
          <w:cantSplit w:val="true"/>
        </w:trPr>
        <w:tc>
          <w:tcPr>
            <w:tcW w:type="dxa" w:w="624"/>
          </w:tcPr>
          <w:p>
            <w:pPr>
              <w:spacing w:after="40"/>
            </w:pPr>
            <w:r/>
            <w:r>
              <w:rPr>
                <w:b/>
                <w:sz w:val="19"/>
              </w:rPr>
              <w:t>3</w:t>
            </w:r>
          </w:p>
        </w:tc>
        <w:tc>
          <w:tcPr>
            <w:tcW w:type="dxa" w:w="3402"/>
          </w:tcPr>
          <w:p>
            <w:pPr>
              <w:spacing w:after="40"/>
            </w:pPr>
            <w:r/>
            <w:r>
              <w:rPr>
                <w:b w:val="0"/>
                <w:sz w:val="19"/>
              </w:rPr>
              <w:t>B) De aparición lenta</w:t>
            </w:r>
          </w:p>
        </w:tc>
        <w:tc>
          <w:tcPr>
            <w:tcW w:type="dxa" w:w="5613"/>
          </w:tcPr>
          <w:p>
            <w:pPr>
              <w:spacing w:after="40"/>
            </w:pPr>
            <w:r/>
            <w:r>
              <w:rPr>
                <w:b w:val="0"/>
                <w:sz w:val="19"/>
              </w:rPr>
              <w:t>Puede aparecer años después, por eso hay protocolos de vigilancia.</w:t>
            </w:r>
          </w:p>
        </w:tc>
      </w:tr>
      <w:tr>
        <w:trPr>
          <w:cantSplit w:val="true"/>
        </w:trPr>
        <w:tc>
          <w:tcPr>
            <w:tcW w:type="dxa" w:w="624"/>
          </w:tcPr>
          <w:p>
            <w:pPr>
              <w:spacing w:after="40"/>
            </w:pPr>
            <w:r/>
            <w:r>
              <w:rPr>
                <w:b/>
                <w:sz w:val="19"/>
              </w:rPr>
              <w:t>4</w:t>
            </w:r>
          </w:p>
        </w:tc>
        <w:tc>
          <w:tcPr>
            <w:tcW w:type="dxa" w:w="3402"/>
          </w:tcPr>
          <w:p>
            <w:pPr>
              <w:spacing w:after="40"/>
            </w:pPr>
            <w:r/>
            <w:r>
              <w:rPr>
                <w:b w:val="0"/>
                <w:sz w:val="19"/>
              </w:rPr>
              <w:t>B) La persona puede acreditar igualmente que se originó en su trabajo</w:t>
            </w:r>
          </w:p>
        </w:tc>
        <w:tc>
          <w:tcPr>
            <w:tcW w:type="dxa" w:w="5613"/>
          </w:tcPr>
          <w:p>
            <w:pPr>
              <w:spacing w:after="40"/>
            </w:pPr>
            <w:r/>
            <w:r>
              <w:rPr>
                <w:b w:val="0"/>
                <w:sz w:val="19"/>
              </w:rPr>
              <w:t>La Ley 16.744 (art. 7) permite acreditar el origen laboral de una enfermedad no listada ante el organismo administrador.</w:t>
            </w:r>
          </w:p>
        </w:tc>
      </w:tr>
      <w:tr>
        <w:trPr>
          <w:cantSplit w:val="true"/>
        </w:trPr>
        <w:tc>
          <w:tcPr>
            <w:tcW w:type="dxa" w:w="624"/>
          </w:tcPr>
          <w:p>
            <w:pPr>
              <w:spacing w:after="40"/>
            </w:pPr>
            <w:r/>
            <w:r>
              <w:rPr>
                <w:b/>
                <w:sz w:val="19"/>
              </w:rPr>
              <w:t>5</w:t>
            </w:r>
          </w:p>
        </w:tc>
        <w:tc>
          <w:tcPr>
            <w:tcW w:type="dxa" w:w="3402"/>
          </w:tcPr>
          <w:p>
            <w:pPr>
              <w:spacing w:after="40"/>
            </w:pPr>
            <w:r/>
            <w:r>
              <w:rPr>
                <w:b w:val="0"/>
                <w:sz w:val="19"/>
              </w:rPr>
              <w:t>B) Al del organismo administrador del seguro, salvo urgencia vital</w:t>
            </w:r>
          </w:p>
        </w:tc>
        <w:tc>
          <w:tcPr>
            <w:tcW w:type="dxa" w:w="5613"/>
          </w:tcPr>
          <w:p>
            <w:pPr>
              <w:spacing w:after="40"/>
            </w:pPr>
            <w:r/>
            <w:r>
              <w:rPr>
                <w:b w:val="0"/>
                <w:sz w:val="19"/>
              </w:rPr>
              <w:t>Se traslada al centro del organismo administrador; en una urgencia vital se atiende en el más cercano.</w:t>
            </w:r>
          </w:p>
        </w:tc>
      </w:tr>
      <w:tr>
        <w:trPr>
          <w:cantSplit w:val="true"/>
        </w:trPr>
        <w:tc>
          <w:tcPr>
            <w:tcW w:type="dxa" w:w="624"/>
          </w:tcPr>
          <w:p>
            <w:pPr>
              <w:spacing w:after="40"/>
            </w:pPr>
            <w:r/>
            <w:r>
              <w:rPr>
                <w:b/>
                <w:sz w:val="19"/>
              </w:rPr>
              <w:t>6</w:t>
            </w:r>
          </w:p>
        </w:tc>
        <w:tc>
          <w:tcPr>
            <w:tcW w:type="dxa" w:w="3402"/>
          </w:tcPr>
          <w:p>
            <w:pPr>
              <w:spacing w:after="40"/>
            </w:pPr>
            <w:r/>
            <w:r>
              <w:rPr>
                <w:b w:val="0"/>
                <w:sz w:val="19"/>
              </w:rPr>
              <w:t>B) Atención médica y rehabilitación</w:t>
            </w:r>
          </w:p>
        </w:tc>
        <w:tc>
          <w:tcPr>
            <w:tcW w:type="dxa" w:w="5613"/>
          </w:tcPr>
          <w:p>
            <w:pPr>
              <w:spacing w:after="40"/>
            </w:pPr>
            <w:r/>
            <w:r>
              <w:rPr>
                <w:b w:val="0"/>
                <w:sz w:val="19"/>
              </w:rPr>
              <w:t>Atención, hospitalización, medicamentos, prótesis y rehabilitación son prestaciones médicas.</w:t>
            </w:r>
          </w:p>
        </w:tc>
      </w:tr>
      <w:tr>
        <w:trPr>
          <w:cantSplit w:val="true"/>
        </w:trPr>
        <w:tc>
          <w:tcPr>
            <w:tcW w:type="dxa" w:w="624"/>
          </w:tcPr>
          <w:p>
            <w:pPr>
              <w:spacing w:after="40"/>
            </w:pPr>
            <w:r/>
            <w:r>
              <w:rPr>
                <w:b/>
                <w:sz w:val="19"/>
              </w:rPr>
              <w:t>7</w:t>
            </w:r>
          </w:p>
        </w:tc>
        <w:tc>
          <w:tcPr>
            <w:tcW w:type="dxa" w:w="3402"/>
          </w:tcPr>
          <w:p>
            <w:pPr>
              <w:spacing w:after="40"/>
            </w:pPr>
            <w:r/>
            <w:r>
              <w:rPr>
                <w:b w:val="0"/>
                <w:sz w:val="19"/>
              </w:rPr>
              <w:t>B) Subsidio por incapacidad temporal</w:t>
            </w:r>
          </w:p>
        </w:tc>
        <w:tc>
          <w:tcPr>
            <w:tcW w:type="dxa" w:w="5613"/>
          </w:tcPr>
          <w:p>
            <w:pPr>
              <w:spacing w:after="40"/>
            </w:pPr>
            <w:r/>
            <w:r>
              <w:rPr>
                <w:b w:val="0"/>
                <w:sz w:val="19"/>
              </w:rPr>
              <w:t>El subsidio, las indemnizaciones y las pensiones son prestaciones económicas.</w:t>
            </w:r>
          </w:p>
        </w:tc>
      </w:tr>
      <w:tr>
        <w:trPr>
          <w:cantSplit w:val="true"/>
        </w:trPr>
        <w:tc>
          <w:tcPr>
            <w:tcW w:type="dxa" w:w="624"/>
          </w:tcPr>
          <w:p>
            <w:pPr>
              <w:spacing w:after="40"/>
            </w:pPr>
            <w:r/>
            <w:r>
              <w:rPr>
                <w:b/>
                <w:sz w:val="19"/>
              </w:rPr>
              <w:t>8</w:t>
            </w:r>
          </w:p>
        </w:tc>
        <w:tc>
          <w:tcPr>
            <w:tcW w:type="dxa" w:w="3402"/>
          </w:tcPr>
          <w:p>
            <w:pPr>
              <w:spacing w:after="40"/>
            </w:pPr>
            <w:r/>
            <w:r>
              <w:rPr>
                <w:b w:val="0"/>
                <w:sz w:val="19"/>
              </w:rPr>
              <w:t>B) La entidad empleadora</w:t>
            </w:r>
          </w:p>
        </w:tc>
        <w:tc>
          <w:tcPr>
            <w:tcW w:type="dxa" w:w="5613"/>
          </w:tcPr>
          <w:p>
            <w:pPr>
              <w:spacing w:after="40"/>
            </w:pPr>
            <w:r/>
            <w:r>
              <w:rPr>
                <w:b w:val="0"/>
                <w:sz w:val="19"/>
              </w:rPr>
              <w:t>La entidad empleadora denuncia el accidente. Si no lo hace, la persona trabajadora también puede denunciarlo.</w:t>
            </w:r>
          </w:p>
        </w:tc>
      </w:tr>
      <w:tr>
        <w:trPr>
          <w:cantSplit w:val="true"/>
        </w:trPr>
        <w:tc>
          <w:tcPr>
            <w:tcW w:type="dxa" w:w="624"/>
          </w:tcPr>
          <w:p>
            <w:pPr>
              <w:spacing w:after="40"/>
            </w:pPr>
            <w:r/>
            <w:r>
              <w:rPr>
                <w:b/>
                <w:sz w:val="19"/>
              </w:rPr>
              <w:t>9</w:t>
            </w:r>
          </w:p>
        </w:tc>
        <w:tc>
          <w:tcPr>
            <w:tcW w:type="dxa" w:w="3402"/>
          </w:tcPr>
          <w:p>
            <w:pPr>
              <w:spacing w:after="40"/>
            </w:pPr>
            <w:r/>
            <w:r>
              <w:rPr>
                <w:b w:val="0"/>
                <w:sz w:val="19"/>
              </w:rPr>
              <w:t>B) Puede dejar a la persona sin las prestaciones del seguro</w:t>
            </w:r>
          </w:p>
        </w:tc>
        <w:tc>
          <w:tcPr>
            <w:tcW w:type="dxa" w:w="5613"/>
          </w:tcPr>
          <w:p>
            <w:pPr>
              <w:spacing w:after="40"/>
            </w:pPr>
            <w:r/>
            <w:r>
              <w:rPr>
                <w:b w:val="0"/>
                <w:sz w:val="19"/>
              </w:rPr>
              <w:t>Reportar activa las prestaciones y permite corregir la causa.</w:t>
            </w:r>
          </w:p>
        </w:tc>
      </w:tr>
    </w:tbl>
    <w:p>
      <w:pPr>
        <w:spacing w:before="120"/>
      </w:pPr>
      <w:r>
        <w:rPr>
          <w:b/>
        </w:rPr>
        <w:t xml:space="preserve">Pregunta de aplicación. </w:t>
      </w:r>
      <w:r>
        <w:t>Respuesta correcta si menciona el aviso inmediato a la jefatura, la atención en el centro asistencial del organismo administrador y que reportar activa las prestaciones del seguro.</w:t>
      </w:r>
    </w:p>
    <w:p>
      <w:pPr>
        <w:pStyle w:val="Heading2"/>
      </w:pPr>
      <w:r>
        <w:t>Módulo 4: Medidas preventivas y de protección</w:t>
      </w:r>
    </w:p>
    <w:tbl>
      <w:tblPr>
        <w:tblW w:type="auto" w:w="0"/>
        <w:tblLook w:firstColumn="1" w:firstRow="1" w:lastColumn="0" w:lastRow="0" w:noHBand="0" w:noVBand="1" w:val="04A0"/>
        <w:tblBorders>
          <w:top w:val="single" w:sz="4" w:space="0" w:color="C9D1C5"/>
          <w:left w:val="single" w:sz="4" w:space="0" w:color="C9D1C5"/>
          <w:bottom w:val="single" w:sz="4" w:space="0" w:color="C9D1C5"/>
          <w:right w:val="single" w:sz="4" w:space="0" w:color="C9D1C5"/>
          <w:insideH w:val="single" w:sz="4" w:space="0" w:color="C9D1C5"/>
          <w:insideV w:val="single" w:sz="4" w:space="0" w:color="C9D1C5"/>
        </w:tblBorders>
      </w:tblPr>
      <w:tblGrid>
        <w:gridCol w:w="3213"/>
        <w:gridCol w:w="3213"/>
        <w:gridCol w:w="3213"/>
      </w:tblGrid>
      <w:tr>
        <w:trPr>
          <w:tblHeader w:val="true"/>
        </w:trPr>
        <w:tc>
          <w:tcPr>
            <w:tcW w:type="dxa" w:w="624"/>
            <w:shd w:val="clear" w:color="auto" w:fill="16281E"/>
          </w:tcPr>
          <w:p>
            <w:pPr>
              <w:spacing w:after="40"/>
            </w:pPr>
            <w:r/>
            <w:r>
              <w:rPr>
                <w:b/>
                <w:color w:val="FFFFFF"/>
                <w:sz w:val="18"/>
              </w:rPr>
              <w:t>N°</w:t>
            </w:r>
          </w:p>
        </w:tc>
        <w:tc>
          <w:tcPr>
            <w:tcW w:type="dxa" w:w="3402"/>
            <w:shd w:val="clear" w:color="auto" w:fill="16281E"/>
          </w:tcPr>
          <w:p>
            <w:pPr>
              <w:spacing w:after="40"/>
            </w:pPr>
            <w:r/>
            <w:r>
              <w:rPr>
                <w:b/>
                <w:color w:val="FFFFFF"/>
                <w:sz w:val="18"/>
              </w:rPr>
              <w:t>Correcta</w:t>
            </w:r>
          </w:p>
        </w:tc>
        <w:tc>
          <w:tcPr>
            <w:tcW w:type="dxa" w:w="5613"/>
            <w:shd w:val="clear" w:color="auto" w:fill="16281E"/>
          </w:tcPr>
          <w:p>
            <w:pPr>
              <w:spacing w:after="40"/>
            </w:pPr>
            <w:r/>
            <w:r>
              <w:rPr>
                <w:b/>
                <w:color w:val="FFFFFF"/>
                <w:sz w:val="18"/>
              </w:rPr>
              <w:t>Por qué</w:t>
            </w:r>
          </w:p>
        </w:tc>
      </w:tr>
      <w:tr>
        <w:trPr>
          <w:cantSplit w:val="true"/>
        </w:trPr>
        <w:tc>
          <w:tcPr>
            <w:tcW w:type="dxa" w:w="624"/>
          </w:tcPr>
          <w:p>
            <w:pPr>
              <w:spacing w:after="40"/>
            </w:pPr>
            <w:r/>
            <w:r>
              <w:rPr>
                <w:b/>
                <w:sz w:val="19"/>
              </w:rPr>
              <w:t>1</w:t>
            </w:r>
          </w:p>
        </w:tc>
        <w:tc>
          <w:tcPr>
            <w:tcW w:type="dxa" w:w="3402"/>
          </w:tcPr>
          <w:p>
            <w:pPr>
              <w:spacing w:after="40"/>
            </w:pPr>
            <w:r/>
            <w:r>
              <w:rPr>
                <w:b w:val="0"/>
                <w:sz w:val="19"/>
              </w:rPr>
              <w:t>B) Eliminar el peligro</w:t>
            </w:r>
          </w:p>
        </w:tc>
        <w:tc>
          <w:tcPr>
            <w:tcW w:type="dxa" w:w="5613"/>
          </w:tcPr>
          <w:p>
            <w:pPr>
              <w:spacing w:after="40"/>
            </w:pPr>
            <w:r/>
            <w:r>
              <w:rPr>
                <w:b w:val="0"/>
                <w:sz w:val="19"/>
              </w:rPr>
              <w:t>Evitar o eliminar el riesgo es el primer nivel de la prelación (DS 44, art. 9); el EPP es el último.</w:t>
            </w:r>
          </w:p>
        </w:tc>
      </w:tr>
      <w:tr>
        <w:trPr>
          <w:cantSplit w:val="true"/>
        </w:trPr>
        <w:tc>
          <w:tcPr>
            <w:tcW w:type="dxa" w:w="624"/>
          </w:tcPr>
          <w:p>
            <w:pPr>
              <w:spacing w:after="40"/>
            </w:pPr>
            <w:r/>
            <w:r>
              <w:rPr>
                <w:b/>
                <w:sz w:val="19"/>
              </w:rPr>
              <w:t>2</w:t>
            </w:r>
          </w:p>
        </w:tc>
        <w:tc>
          <w:tcPr>
            <w:tcW w:type="dxa" w:w="3402"/>
          </w:tcPr>
          <w:p>
            <w:pPr>
              <w:spacing w:after="40"/>
            </w:pPr>
            <w:r/>
            <w:r>
              <w:rPr>
                <w:b w:val="0"/>
                <w:sz w:val="19"/>
              </w:rPr>
              <w:t>B) Entregado sin costo y adecuado al riesgo y a la talla</w:t>
            </w:r>
          </w:p>
        </w:tc>
        <w:tc>
          <w:tcPr>
            <w:tcW w:type="dxa" w:w="5613"/>
          </w:tcPr>
          <w:p>
            <w:pPr>
              <w:spacing w:after="40"/>
            </w:pPr>
            <w:r/>
            <w:r>
              <w:rPr>
                <w:b w:val="0"/>
                <w:sz w:val="19"/>
              </w:rPr>
              <w:t>La entidad empleadora lo entrega sin costo y adecuado.</w:t>
            </w:r>
          </w:p>
        </w:tc>
      </w:tr>
      <w:tr>
        <w:trPr>
          <w:cantSplit w:val="true"/>
        </w:trPr>
        <w:tc>
          <w:tcPr>
            <w:tcW w:type="dxa" w:w="624"/>
          </w:tcPr>
          <w:p>
            <w:pPr>
              <w:spacing w:after="40"/>
            </w:pPr>
            <w:r/>
            <w:r>
              <w:rPr>
                <w:b/>
                <w:sz w:val="19"/>
              </w:rPr>
              <w:t>3</w:t>
            </w:r>
          </w:p>
        </w:tc>
        <w:tc>
          <w:tcPr>
            <w:tcW w:type="dxa" w:w="3402"/>
          </w:tcPr>
          <w:p>
            <w:pPr>
              <w:spacing w:after="40"/>
            </w:pPr>
            <w:r/>
            <w:r>
              <w:rPr>
                <w:b w:val="0"/>
                <w:sz w:val="19"/>
              </w:rPr>
              <w:t>B) Reemplazarse</w:t>
            </w:r>
          </w:p>
        </w:tc>
        <w:tc>
          <w:tcPr>
            <w:tcW w:type="dxa" w:w="5613"/>
          </w:tcPr>
          <w:p>
            <w:pPr>
              <w:spacing w:after="40"/>
            </w:pPr>
            <w:r/>
            <w:r>
              <w:rPr>
                <w:b w:val="0"/>
                <w:sz w:val="19"/>
              </w:rPr>
              <w:t>Un EPP en mal estado no protege: se revisa antes de cada uso y se reemplaza.</w:t>
            </w:r>
          </w:p>
        </w:tc>
      </w:tr>
      <w:tr>
        <w:trPr>
          <w:cantSplit w:val="true"/>
        </w:trPr>
        <w:tc>
          <w:tcPr>
            <w:tcW w:type="dxa" w:w="624"/>
          </w:tcPr>
          <w:p>
            <w:pPr>
              <w:spacing w:after="40"/>
            </w:pPr>
            <w:r/>
            <w:r>
              <w:rPr>
                <w:b/>
                <w:sz w:val="19"/>
              </w:rPr>
              <w:t>4</w:t>
            </w:r>
          </w:p>
        </w:tc>
        <w:tc>
          <w:tcPr>
            <w:tcW w:type="dxa" w:w="3402"/>
          </w:tcPr>
          <w:p>
            <w:pPr>
              <w:spacing w:after="40"/>
            </w:pPr>
            <w:r/>
            <w:r>
              <w:rPr>
                <w:b w:val="0"/>
                <w:sz w:val="19"/>
              </w:rPr>
              <w:t>A) Análisis Seguro de Trabajo</w:t>
            </w:r>
          </w:p>
        </w:tc>
        <w:tc>
          <w:tcPr>
            <w:tcW w:type="dxa" w:w="5613"/>
          </w:tcPr>
          <w:p>
            <w:pPr>
              <w:spacing w:after="40"/>
            </w:pPr>
            <w:r/>
            <w:r>
              <w:rPr>
                <w:b w:val="0"/>
                <w:sz w:val="19"/>
              </w:rPr>
              <w:t>AST es el Análisis Seguro de Trabajo.</w:t>
            </w:r>
          </w:p>
        </w:tc>
      </w:tr>
      <w:tr>
        <w:trPr>
          <w:cantSplit w:val="true"/>
        </w:trPr>
        <w:tc>
          <w:tcPr>
            <w:tcW w:type="dxa" w:w="624"/>
          </w:tcPr>
          <w:p>
            <w:pPr>
              <w:spacing w:after="40"/>
            </w:pPr>
            <w:r/>
            <w:r>
              <w:rPr>
                <w:b/>
                <w:sz w:val="19"/>
              </w:rPr>
              <w:t>5</w:t>
            </w:r>
          </w:p>
        </w:tc>
        <w:tc>
          <w:tcPr>
            <w:tcW w:type="dxa" w:w="3402"/>
          </w:tcPr>
          <w:p>
            <w:pPr>
              <w:spacing w:after="40"/>
            </w:pPr>
            <w:r/>
            <w:r>
              <w:rPr>
                <w:b w:val="0"/>
                <w:sz w:val="19"/>
              </w:rPr>
              <w:t>B) Antes de una tarea nueva o no rutinaria</w:t>
            </w:r>
          </w:p>
        </w:tc>
        <w:tc>
          <w:tcPr>
            <w:tcW w:type="dxa" w:w="5613"/>
          </w:tcPr>
          <w:p>
            <w:pPr>
              <w:spacing w:after="40"/>
            </w:pPr>
            <w:r/>
            <w:r>
              <w:rPr>
                <w:b w:val="0"/>
                <w:sz w:val="19"/>
              </w:rPr>
              <w:t>Se hace en el lugar, antes de comenzar la tarea.</w:t>
            </w:r>
          </w:p>
        </w:tc>
      </w:tr>
      <w:tr>
        <w:trPr>
          <w:cantSplit w:val="true"/>
        </w:trPr>
        <w:tc>
          <w:tcPr>
            <w:tcW w:type="dxa" w:w="624"/>
          </w:tcPr>
          <w:p>
            <w:pPr>
              <w:spacing w:after="40"/>
            </w:pPr>
            <w:r/>
            <w:r>
              <w:rPr>
                <w:b/>
                <w:sz w:val="19"/>
              </w:rPr>
              <w:t>6</w:t>
            </w:r>
          </w:p>
        </w:tc>
        <w:tc>
          <w:tcPr>
            <w:tcW w:type="dxa" w:w="3402"/>
          </w:tcPr>
          <w:p>
            <w:pPr>
              <w:spacing w:after="40"/>
            </w:pPr>
            <w:r/>
            <w:r>
              <w:rPr>
                <w:b w:val="0"/>
                <w:sz w:val="19"/>
              </w:rPr>
              <w:t>A) Un resguardo en una máquina</w:t>
            </w:r>
          </w:p>
        </w:tc>
        <w:tc>
          <w:tcPr>
            <w:tcW w:type="dxa" w:w="5613"/>
          </w:tcPr>
          <w:p>
            <w:pPr>
              <w:spacing w:after="40"/>
            </w:pPr>
            <w:r/>
            <w:r>
              <w:rPr>
                <w:b w:val="0"/>
                <w:sz w:val="19"/>
              </w:rPr>
              <w:t>El resguardo es una medida de ingeniería: aísla a la persona del peligro.</w:t>
            </w:r>
          </w:p>
        </w:tc>
      </w:tr>
      <w:tr>
        <w:trPr>
          <w:cantSplit w:val="true"/>
        </w:trPr>
        <w:tc>
          <w:tcPr>
            <w:tcW w:type="dxa" w:w="624"/>
          </w:tcPr>
          <w:p>
            <w:pPr>
              <w:spacing w:after="40"/>
            </w:pPr>
            <w:r/>
            <w:r>
              <w:rPr>
                <w:b/>
                <w:sz w:val="19"/>
              </w:rPr>
              <w:t>7</w:t>
            </w:r>
          </w:p>
        </w:tc>
        <w:tc>
          <w:tcPr>
            <w:tcW w:type="dxa" w:w="3402"/>
          </w:tcPr>
          <w:p>
            <w:pPr>
              <w:spacing w:after="40"/>
            </w:pPr>
            <w:r/>
            <w:r>
              <w:rPr>
                <w:b w:val="0"/>
                <w:sz w:val="19"/>
              </w:rPr>
              <w:t>B) Avisarlo, señalizarlo y secarlo</w:t>
            </w:r>
          </w:p>
        </w:tc>
        <w:tc>
          <w:tcPr>
            <w:tcW w:type="dxa" w:w="5613"/>
          </w:tcPr>
          <w:p>
            <w:pPr>
              <w:spacing w:after="40"/>
            </w:pPr>
            <w:r/>
            <w:r>
              <w:rPr>
                <w:b w:val="0"/>
                <w:sz w:val="19"/>
              </w:rPr>
              <w:t>Una condición insegura se avisa y se corrige.</w:t>
            </w:r>
          </w:p>
        </w:tc>
      </w:tr>
      <w:tr>
        <w:trPr>
          <w:cantSplit w:val="true"/>
        </w:trPr>
        <w:tc>
          <w:tcPr>
            <w:tcW w:type="dxa" w:w="624"/>
          </w:tcPr>
          <w:p>
            <w:pPr>
              <w:spacing w:after="40"/>
            </w:pPr>
            <w:r/>
            <w:r>
              <w:rPr>
                <w:b/>
                <w:sz w:val="19"/>
              </w:rPr>
              <w:t>8</w:t>
            </w:r>
          </w:p>
        </w:tc>
        <w:tc>
          <w:tcPr>
            <w:tcW w:type="dxa" w:w="3402"/>
          </w:tcPr>
          <w:p>
            <w:pPr>
              <w:spacing w:after="40"/>
            </w:pPr>
            <w:r/>
            <w:r>
              <w:rPr>
                <w:b w:val="0"/>
                <w:sz w:val="19"/>
              </w:rPr>
              <w:t>B) Se elabora a partir de la MIPER, con plazos y responsables</w:t>
            </w:r>
          </w:p>
        </w:tc>
        <w:tc>
          <w:tcPr>
            <w:tcW w:type="dxa" w:w="5613"/>
          </w:tcPr>
          <w:p>
            <w:pPr>
              <w:spacing w:after="40"/>
            </w:pPr>
            <w:r/>
            <w:r>
              <w:rPr>
                <w:b w:val="0"/>
                <w:sz w:val="19"/>
              </w:rPr>
              <w:t>El art. 8 del DS 44 lo exige a partir de la MIPER, aprobado por la representación legal y difundido.</w:t>
            </w:r>
          </w:p>
        </w:tc>
      </w:tr>
      <w:tr>
        <w:trPr>
          <w:cantSplit w:val="true"/>
        </w:trPr>
        <w:tc>
          <w:tcPr>
            <w:tcW w:type="dxa" w:w="624"/>
          </w:tcPr>
          <w:p>
            <w:pPr>
              <w:spacing w:after="40"/>
            </w:pPr>
            <w:r/>
            <w:r>
              <w:rPr>
                <w:b/>
                <w:sz w:val="19"/>
              </w:rPr>
              <w:t>9</w:t>
            </w:r>
          </w:p>
        </w:tc>
        <w:tc>
          <w:tcPr>
            <w:tcW w:type="dxa" w:w="3402"/>
          </w:tcPr>
          <w:p>
            <w:pPr>
              <w:spacing w:after="40"/>
            </w:pPr>
            <w:r/>
            <w:r>
              <w:rPr>
                <w:b w:val="0"/>
                <w:sz w:val="19"/>
              </w:rPr>
              <w:t>B) Es una persona especialmente sensible y requiere medidas de protección específicas</w:t>
            </w:r>
          </w:p>
        </w:tc>
        <w:tc>
          <w:tcPr>
            <w:tcW w:type="dxa" w:w="5613"/>
          </w:tcPr>
          <w:p>
            <w:pPr>
              <w:spacing w:after="40"/>
            </w:pPr>
            <w:r/>
            <w:r>
              <w:rPr>
                <w:b w:val="0"/>
                <w:sz w:val="19"/>
              </w:rPr>
              <w:t>El DS 44 (arts. 2 N° 23 y 11) la considera especialmente sensible; además, no puede hacer carga y descarga manual.</w:t>
            </w:r>
          </w:p>
        </w:tc>
      </w:tr>
    </w:tbl>
    <w:p>
      <w:pPr>
        <w:spacing w:before="120"/>
      </w:pPr>
      <w:r>
        <w:rPr>
          <w:b/>
        </w:rPr>
        <w:t xml:space="preserve">Pregunta de aplicación. </w:t>
      </w:r>
      <w:r>
        <w:t>Respuesta correcta si propone una medida de eliminación, sustitución, ingeniería o administrativa para un peligro real, y no solo un EPP.</w:t>
      </w:r>
    </w:p>
    <w:p>
      <w:pPr>
        <w:pStyle w:val="Heading2"/>
      </w:pPr>
      <w:r>
        <w:t>Módulo 5: Gestión de emergencias y desastres</w:t>
      </w:r>
    </w:p>
    <w:tbl>
      <w:tblPr>
        <w:tblW w:type="auto" w:w="0"/>
        <w:tblLook w:firstColumn="1" w:firstRow="1" w:lastColumn="0" w:lastRow="0" w:noHBand="0" w:noVBand="1" w:val="04A0"/>
        <w:tblBorders>
          <w:top w:val="single" w:sz="4" w:space="0" w:color="C9D1C5"/>
          <w:left w:val="single" w:sz="4" w:space="0" w:color="C9D1C5"/>
          <w:bottom w:val="single" w:sz="4" w:space="0" w:color="C9D1C5"/>
          <w:right w:val="single" w:sz="4" w:space="0" w:color="C9D1C5"/>
          <w:insideH w:val="single" w:sz="4" w:space="0" w:color="C9D1C5"/>
          <w:insideV w:val="single" w:sz="4" w:space="0" w:color="C9D1C5"/>
        </w:tblBorders>
      </w:tblPr>
      <w:tblGrid>
        <w:gridCol w:w="3213"/>
        <w:gridCol w:w="3213"/>
        <w:gridCol w:w="3213"/>
      </w:tblGrid>
      <w:tr>
        <w:trPr>
          <w:tblHeader w:val="true"/>
        </w:trPr>
        <w:tc>
          <w:tcPr>
            <w:tcW w:type="dxa" w:w="624"/>
            <w:shd w:val="clear" w:color="auto" w:fill="16281E"/>
          </w:tcPr>
          <w:p>
            <w:pPr>
              <w:spacing w:after="40"/>
            </w:pPr>
            <w:r/>
            <w:r>
              <w:rPr>
                <w:b/>
                <w:color w:val="FFFFFF"/>
                <w:sz w:val="18"/>
              </w:rPr>
              <w:t>N°</w:t>
            </w:r>
          </w:p>
        </w:tc>
        <w:tc>
          <w:tcPr>
            <w:tcW w:type="dxa" w:w="3402"/>
            <w:shd w:val="clear" w:color="auto" w:fill="16281E"/>
          </w:tcPr>
          <w:p>
            <w:pPr>
              <w:spacing w:after="40"/>
            </w:pPr>
            <w:r/>
            <w:r>
              <w:rPr>
                <w:b/>
                <w:color w:val="FFFFFF"/>
                <w:sz w:val="18"/>
              </w:rPr>
              <w:t>Correcta</w:t>
            </w:r>
          </w:p>
        </w:tc>
        <w:tc>
          <w:tcPr>
            <w:tcW w:type="dxa" w:w="5613"/>
            <w:shd w:val="clear" w:color="auto" w:fill="16281E"/>
          </w:tcPr>
          <w:p>
            <w:pPr>
              <w:spacing w:after="40"/>
            </w:pPr>
            <w:r/>
            <w:r>
              <w:rPr>
                <w:b/>
                <w:color w:val="FFFFFF"/>
                <w:sz w:val="18"/>
              </w:rPr>
              <w:t>Por qué</w:t>
            </w:r>
          </w:p>
        </w:tc>
      </w:tr>
      <w:tr>
        <w:trPr>
          <w:cantSplit w:val="true"/>
        </w:trPr>
        <w:tc>
          <w:tcPr>
            <w:tcW w:type="dxa" w:w="624"/>
          </w:tcPr>
          <w:p>
            <w:pPr>
              <w:spacing w:after="40"/>
            </w:pPr>
            <w:r/>
            <w:r>
              <w:rPr>
                <w:b/>
                <w:sz w:val="19"/>
              </w:rPr>
              <w:t>1</w:t>
            </w:r>
          </w:p>
        </w:tc>
        <w:tc>
          <w:tcPr>
            <w:tcW w:type="dxa" w:w="3402"/>
          </w:tcPr>
          <w:p>
            <w:pPr>
              <w:spacing w:after="40"/>
            </w:pPr>
            <w:r/>
            <w:r>
              <w:rPr>
                <w:b w:val="0"/>
                <w:sz w:val="19"/>
              </w:rPr>
              <w:t>B) Suspender la faena y evacuar</w:t>
            </w:r>
          </w:p>
        </w:tc>
        <w:tc>
          <w:tcPr>
            <w:tcW w:type="dxa" w:w="5613"/>
          </w:tcPr>
          <w:p>
            <w:pPr>
              <w:spacing w:after="40"/>
            </w:pPr>
            <w:r/>
            <w:r>
              <w:rPr>
                <w:b w:val="0"/>
                <w:sz w:val="19"/>
              </w:rPr>
              <w:t>Se informa de inmediato a las personas afectadas y se suspende la faena con evacuación.</w:t>
            </w:r>
          </w:p>
        </w:tc>
      </w:tr>
      <w:tr>
        <w:trPr>
          <w:cantSplit w:val="true"/>
        </w:trPr>
        <w:tc>
          <w:tcPr>
            <w:tcW w:type="dxa" w:w="624"/>
          </w:tcPr>
          <w:p>
            <w:pPr>
              <w:spacing w:after="40"/>
            </w:pPr>
            <w:r/>
            <w:r>
              <w:rPr>
                <w:b/>
                <w:sz w:val="19"/>
              </w:rPr>
              <w:t>2</w:t>
            </w:r>
          </w:p>
        </w:tc>
        <w:tc>
          <w:tcPr>
            <w:tcW w:type="dxa" w:w="3402"/>
          </w:tcPr>
          <w:p>
            <w:pPr>
              <w:spacing w:after="40"/>
            </w:pPr>
            <w:r/>
            <w:r>
              <w:rPr>
                <w:b w:val="0"/>
                <w:sz w:val="19"/>
              </w:rPr>
              <w:t>B) Al menos una vez al año</w:t>
            </w:r>
          </w:p>
        </w:tc>
        <w:tc>
          <w:tcPr>
            <w:tcW w:type="dxa" w:w="5613"/>
          </w:tcPr>
          <w:p>
            <w:pPr>
              <w:spacing w:after="40"/>
            </w:pPr>
            <w:r/>
            <w:r>
              <w:rPr>
                <w:b w:val="0"/>
                <w:sz w:val="19"/>
              </w:rPr>
              <w:t>El art. 19 del DS 44 exige pruebas de ensayo al menos una vez al año.</w:t>
            </w:r>
          </w:p>
        </w:tc>
      </w:tr>
      <w:tr>
        <w:trPr>
          <w:cantSplit w:val="true"/>
        </w:trPr>
        <w:tc>
          <w:tcPr>
            <w:tcW w:type="dxa" w:w="624"/>
          </w:tcPr>
          <w:p>
            <w:pPr>
              <w:spacing w:after="40"/>
            </w:pPr>
            <w:r/>
            <w:r>
              <w:rPr>
                <w:b/>
                <w:sz w:val="19"/>
              </w:rPr>
              <w:t>3</w:t>
            </w:r>
          </w:p>
        </w:tc>
        <w:tc>
          <w:tcPr>
            <w:tcW w:type="dxa" w:w="3402"/>
          </w:tcPr>
          <w:p>
            <w:pPr>
              <w:spacing w:after="40"/>
            </w:pPr>
            <w:r/>
            <w:r>
              <w:rPr>
                <w:b w:val="0"/>
                <w:sz w:val="19"/>
              </w:rPr>
              <w:t>B) Puede interrumpir sus labores y abandonar el lugar, avisando a la entidad empleadora</w:t>
            </w:r>
          </w:p>
        </w:tc>
        <w:tc>
          <w:tcPr>
            <w:tcW w:type="dxa" w:w="5613"/>
          </w:tcPr>
          <w:p>
            <w:pPr>
              <w:spacing w:after="40"/>
            </w:pPr>
            <w:r/>
            <w:r>
              <w:rPr>
                <w:b w:val="0"/>
                <w:sz w:val="19"/>
              </w:rPr>
              <w:t>El art. 18 del DS 44 le da ese derecho y prohíbe cualquier perjuicio por ejercerlo.</w:t>
            </w:r>
          </w:p>
        </w:tc>
      </w:tr>
      <w:tr>
        <w:trPr>
          <w:cantSplit w:val="true"/>
        </w:trPr>
        <w:tc>
          <w:tcPr>
            <w:tcW w:type="dxa" w:w="624"/>
          </w:tcPr>
          <w:p>
            <w:pPr>
              <w:spacing w:after="40"/>
            </w:pPr>
            <w:r/>
            <w:r>
              <w:rPr>
                <w:b/>
                <w:sz w:val="19"/>
              </w:rPr>
              <w:t>4</w:t>
            </w:r>
          </w:p>
        </w:tc>
        <w:tc>
          <w:tcPr>
            <w:tcW w:type="dxa" w:w="3402"/>
          </w:tcPr>
          <w:p>
            <w:pPr>
              <w:spacing w:after="40"/>
            </w:pPr>
            <w:r/>
            <w:r>
              <w:rPr>
                <w:b w:val="0"/>
                <w:sz w:val="19"/>
              </w:rPr>
              <w:t>B) Conocidas, probables y previsibles, internas o externas</w:t>
            </w:r>
          </w:p>
        </w:tc>
        <w:tc>
          <w:tcPr>
            <w:tcW w:type="dxa" w:w="5613"/>
          </w:tcPr>
          <w:p>
            <w:pPr>
              <w:spacing w:after="40"/>
            </w:pPr>
            <w:r/>
            <w:r>
              <w:rPr>
                <w:b w:val="0"/>
                <w:sz w:val="19"/>
              </w:rPr>
              <w:t>Así lo exige el art. 19 del DS 44.</w:t>
            </w:r>
          </w:p>
        </w:tc>
      </w:tr>
      <w:tr>
        <w:trPr>
          <w:cantSplit w:val="true"/>
        </w:trPr>
        <w:tc>
          <w:tcPr>
            <w:tcW w:type="dxa" w:w="624"/>
          </w:tcPr>
          <w:p>
            <w:pPr>
              <w:spacing w:after="40"/>
            </w:pPr>
            <w:r/>
            <w:r>
              <w:rPr>
                <w:b/>
                <w:sz w:val="19"/>
              </w:rPr>
              <w:t>5</w:t>
            </w:r>
          </w:p>
        </w:tc>
        <w:tc>
          <w:tcPr>
            <w:tcW w:type="dxa" w:w="3402"/>
          </w:tcPr>
          <w:p>
            <w:pPr>
              <w:spacing w:after="40"/>
            </w:pPr>
            <w:r/>
            <w:r>
              <w:rPr>
                <w:b w:val="0"/>
                <w:sz w:val="19"/>
              </w:rPr>
              <w:t>B) Proteger la cabeza y alejarse de ventanas y objetos que puedan caer</w:t>
            </w:r>
          </w:p>
        </w:tc>
        <w:tc>
          <w:tcPr>
            <w:tcW w:type="dxa" w:w="5613"/>
          </w:tcPr>
          <w:p>
            <w:pPr>
              <w:spacing w:after="40"/>
            </w:pPr>
            <w:r/>
            <w:r>
              <w:rPr>
                <w:b w:val="0"/>
                <w:sz w:val="19"/>
              </w:rPr>
              <w:t>Se evacúa con calma cuando termina el movimiento.</w:t>
            </w:r>
          </w:p>
        </w:tc>
      </w:tr>
      <w:tr>
        <w:trPr>
          <w:cantSplit w:val="true"/>
        </w:trPr>
        <w:tc>
          <w:tcPr>
            <w:tcW w:type="dxa" w:w="624"/>
          </w:tcPr>
          <w:p>
            <w:pPr>
              <w:spacing w:after="40"/>
            </w:pPr>
            <w:r/>
            <w:r>
              <w:rPr>
                <w:b/>
                <w:sz w:val="19"/>
              </w:rPr>
              <w:t>6</w:t>
            </w:r>
          </w:p>
        </w:tc>
        <w:tc>
          <w:tcPr>
            <w:tcW w:type="dxa" w:w="3402"/>
          </w:tcPr>
          <w:p>
            <w:pPr>
              <w:spacing w:after="40"/>
            </w:pPr>
            <w:r/>
            <w:r>
              <w:rPr>
                <w:b w:val="0"/>
                <w:sz w:val="19"/>
              </w:rPr>
              <w:t>B) Se sube a un lugar alto sin esperar una alerta</w:t>
            </w:r>
          </w:p>
        </w:tc>
        <w:tc>
          <w:tcPr>
            <w:tcW w:type="dxa" w:w="5613"/>
          </w:tcPr>
          <w:p>
            <w:pPr>
              <w:spacing w:after="40"/>
            </w:pPr>
            <w:r/>
            <w:r>
              <w:rPr>
                <w:b w:val="0"/>
                <w:sz w:val="19"/>
              </w:rPr>
              <w:t>Un sismo que impide mantenerse en pie es la alerta: se evacúa de inmediato a la zona segura.</w:t>
            </w:r>
          </w:p>
        </w:tc>
      </w:tr>
      <w:tr>
        <w:trPr>
          <w:cantSplit w:val="true"/>
        </w:trPr>
        <w:tc>
          <w:tcPr>
            <w:tcW w:type="dxa" w:w="624"/>
          </w:tcPr>
          <w:p>
            <w:pPr>
              <w:spacing w:after="40"/>
            </w:pPr>
            <w:r/>
            <w:r>
              <w:rPr>
                <w:b/>
                <w:sz w:val="19"/>
              </w:rPr>
              <w:t>7</w:t>
            </w:r>
          </w:p>
        </w:tc>
        <w:tc>
          <w:tcPr>
            <w:tcW w:type="dxa" w:w="3402"/>
          </w:tcPr>
          <w:p>
            <w:pPr>
              <w:spacing w:after="40"/>
            </w:pPr>
            <w:r/>
            <w:r>
              <w:rPr>
                <w:b w:val="0"/>
                <w:sz w:val="19"/>
              </w:rPr>
              <w:t>B) Usar ascensores</w:t>
            </w:r>
          </w:p>
        </w:tc>
        <w:tc>
          <w:tcPr>
            <w:tcW w:type="dxa" w:w="5613"/>
          </w:tcPr>
          <w:p>
            <w:pPr>
              <w:spacing w:after="40"/>
            </w:pPr>
            <w:r/>
            <w:r>
              <w:rPr>
                <w:b w:val="0"/>
                <w:sz w:val="19"/>
              </w:rPr>
              <w:t>No se usan ascensores en una evacuación.</w:t>
            </w:r>
          </w:p>
        </w:tc>
      </w:tr>
      <w:tr>
        <w:trPr>
          <w:cantSplit w:val="true"/>
        </w:trPr>
        <w:tc>
          <w:tcPr>
            <w:tcW w:type="dxa" w:w="624"/>
          </w:tcPr>
          <w:p>
            <w:pPr>
              <w:spacing w:after="40"/>
            </w:pPr>
            <w:r/>
            <w:r>
              <w:rPr>
                <w:b/>
                <w:sz w:val="19"/>
              </w:rPr>
              <w:t>8</w:t>
            </w:r>
          </w:p>
        </w:tc>
        <w:tc>
          <w:tcPr>
            <w:tcW w:type="dxa" w:w="3402"/>
          </w:tcPr>
          <w:p>
            <w:pPr>
              <w:spacing w:after="40"/>
            </w:pPr>
            <w:r/>
            <w:r>
              <w:rPr>
                <w:b w:val="0"/>
                <w:sz w:val="19"/>
              </w:rPr>
              <w:t>A) 131</w:t>
            </w:r>
          </w:p>
        </w:tc>
        <w:tc>
          <w:tcPr>
            <w:tcW w:type="dxa" w:w="5613"/>
          </w:tcPr>
          <w:p>
            <w:pPr>
              <w:spacing w:after="40"/>
            </w:pPr>
            <w:r/>
            <w:r>
              <w:rPr>
                <w:b w:val="0"/>
                <w:sz w:val="19"/>
              </w:rPr>
              <w:t>Ambulancia 131, Bomberos 132 y Carabineros 133.</w:t>
            </w:r>
          </w:p>
        </w:tc>
      </w:tr>
      <w:tr>
        <w:trPr>
          <w:cantSplit w:val="true"/>
        </w:trPr>
        <w:tc>
          <w:tcPr>
            <w:tcW w:type="dxa" w:w="624"/>
          </w:tcPr>
          <w:p>
            <w:pPr>
              <w:spacing w:after="40"/>
            </w:pPr>
            <w:r/>
            <w:r>
              <w:rPr>
                <w:b/>
                <w:sz w:val="19"/>
              </w:rPr>
              <w:t>9</w:t>
            </w:r>
          </w:p>
        </w:tc>
        <w:tc>
          <w:tcPr>
            <w:tcW w:type="dxa" w:w="3402"/>
          </w:tcPr>
          <w:p>
            <w:pPr>
              <w:spacing w:after="40"/>
            </w:pPr>
            <w:r/>
            <w:r>
              <w:rPr>
                <w:b w:val="0"/>
                <w:sz w:val="19"/>
              </w:rPr>
              <w:t>A) Es un enfoque de accesibilidad exigido por la Guía</w:t>
            </w:r>
          </w:p>
        </w:tc>
        <w:tc>
          <w:tcPr>
            <w:tcW w:type="dxa" w:w="5613"/>
          </w:tcPr>
          <w:p>
            <w:pPr>
              <w:spacing w:after="40"/>
            </w:pPr>
            <w:r/>
            <w:r>
              <w:rPr>
                <w:b w:val="0"/>
                <w:sz w:val="19"/>
              </w:rPr>
              <w:t>La Guía incorpora el enfoque de accesibilidad: el plan debe alcanzar a todas las personas.</w:t>
            </w:r>
          </w:p>
        </w:tc>
      </w:tr>
    </w:tbl>
    <w:p>
      <w:pPr>
        <w:spacing w:before="120"/>
      </w:pPr>
      <w:r>
        <w:rPr>
          <w:b/>
        </w:rPr>
        <w:t xml:space="preserve">Pregunta de aplicación. </w:t>
      </w:r>
      <w:r>
        <w:t>Respuesta correcta si menciona mantener la calma, seguir la vía señalizada sin ascensores, ayudar a quien lo necesite y presentarse en el punto de encuentro para la verificación.</w:t>
      </w:r>
    </w:p>
    <w:p>
      <w:pPr>
        <w:pStyle w:val="Heading2"/>
      </w:pPr>
      <w:r>
        <w:t>Módulo 6: Señalización y prevención de incendios</w:t>
      </w:r>
    </w:p>
    <w:tbl>
      <w:tblPr>
        <w:tblW w:type="auto" w:w="0"/>
        <w:tblLook w:firstColumn="1" w:firstRow="1" w:lastColumn="0" w:lastRow="0" w:noHBand="0" w:noVBand="1" w:val="04A0"/>
        <w:tblBorders>
          <w:top w:val="single" w:sz="4" w:space="0" w:color="C9D1C5"/>
          <w:left w:val="single" w:sz="4" w:space="0" w:color="C9D1C5"/>
          <w:bottom w:val="single" w:sz="4" w:space="0" w:color="C9D1C5"/>
          <w:right w:val="single" w:sz="4" w:space="0" w:color="C9D1C5"/>
          <w:insideH w:val="single" w:sz="4" w:space="0" w:color="C9D1C5"/>
          <w:insideV w:val="single" w:sz="4" w:space="0" w:color="C9D1C5"/>
        </w:tblBorders>
      </w:tblPr>
      <w:tblGrid>
        <w:gridCol w:w="3213"/>
        <w:gridCol w:w="3213"/>
        <w:gridCol w:w="3213"/>
      </w:tblGrid>
      <w:tr>
        <w:trPr>
          <w:tblHeader w:val="true"/>
        </w:trPr>
        <w:tc>
          <w:tcPr>
            <w:tcW w:type="dxa" w:w="624"/>
            <w:shd w:val="clear" w:color="auto" w:fill="16281E"/>
          </w:tcPr>
          <w:p>
            <w:pPr>
              <w:spacing w:after="40"/>
            </w:pPr>
            <w:r/>
            <w:r>
              <w:rPr>
                <w:b/>
                <w:color w:val="FFFFFF"/>
                <w:sz w:val="18"/>
              </w:rPr>
              <w:t>N°</w:t>
            </w:r>
          </w:p>
        </w:tc>
        <w:tc>
          <w:tcPr>
            <w:tcW w:type="dxa" w:w="3402"/>
            <w:shd w:val="clear" w:color="auto" w:fill="16281E"/>
          </w:tcPr>
          <w:p>
            <w:pPr>
              <w:spacing w:after="40"/>
            </w:pPr>
            <w:r/>
            <w:r>
              <w:rPr>
                <w:b/>
                <w:color w:val="FFFFFF"/>
                <w:sz w:val="18"/>
              </w:rPr>
              <w:t>Correcta</w:t>
            </w:r>
          </w:p>
        </w:tc>
        <w:tc>
          <w:tcPr>
            <w:tcW w:type="dxa" w:w="5613"/>
            <w:shd w:val="clear" w:color="auto" w:fill="16281E"/>
          </w:tcPr>
          <w:p>
            <w:pPr>
              <w:spacing w:after="40"/>
            </w:pPr>
            <w:r/>
            <w:r>
              <w:rPr>
                <w:b/>
                <w:color w:val="FFFFFF"/>
                <w:sz w:val="18"/>
              </w:rPr>
              <w:t>Por qué</w:t>
            </w:r>
          </w:p>
        </w:tc>
      </w:tr>
      <w:tr>
        <w:trPr>
          <w:cantSplit w:val="true"/>
        </w:trPr>
        <w:tc>
          <w:tcPr>
            <w:tcW w:type="dxa" w:w="624"/>
          </w:tcPr>
          <w:p>
            <w:pPr>
              <w:spacing w:after="40"/>
            </w:pPr>
            <w:r/>
            <w:r>
              <w:rPr>
                <w:b/>
                <w:sz w:val="19"/>
              </w:rPr>
              <w:t>1</w:t>
            </w:r>
          </w:p>
        </w:tc>
        <w:tc>
          <w:tcPr>
            <w:tcW w:type="dxa" w:w="3402"/>
          </w:tcPr>
          <w:p>
            <w:pPr>
              <w:spacing w:after="40"/>
            </w:pPr>
            <w:r/>
            <w:r>
              <w:rPr>
                <w:b w:val="0"/>
                <w:sz w:val="19"/>
              </w:rPr>
              <w:t>C) Obligación de usar algo</w:t>
            </w:r>
          </w:p>
        </w:tc>
        <w:tc>
          <w:tcPr>
            <w:tcW w:type="dxa" w:w="5613"/>
          </w:tcPr>
          <w:p>
            <w:pPr>
              <w:spacing w:after="40"/>
            </w:pPr>
            <w:r/>
            <w:r>
              <w:rPr>
                <w:b w:val="0"/>
                <w:sz w:val="19"/>
              </w:rPr>
              <w:t>El azul indica obligación, por ejemplo el uso de casco o de protección auditiva.</w:t>
            </w:r>
          </w:p>
        </w:tc>
      </w:tr>
      <w:tr>
        <w:trPr>
          <w:cantSplit w:val="true"/>
        </w:trPr>
        <w:tc>
          <w:tcPr>
            <w:tcW w:type="dxa" w:w="624"/>
          </w:tcPr>
          <w:p>
            <w:pPr>
              <w:spacing w:after="40"/>
            </w:pPr>
            <w:r/>
            <w:r>
              <w:rPr>
                <w:b/>
                <w:sz w:val="19"/>
              </w:rPr>
              <w:t>2</w:t>
            </w:r>
          </w:p>
        </w:tc>
        <w:tc>
          <w:tcPr>
            <w:tcW w:type="dxa" w:w="3402"/>
          </w:tcPr>
          <w:p>
            <w:pPr>
              <w:spacing w:after="40"/>
            </w:pPr>
            <w:r/>
            <w:r>
              <w:rPr>
                <w:b w:val="0"/>
                <w:sz w:val="19"/>
              </w:rPr>
              <w:t>B) Vía de evacuación, salida o primeros auxilios</w:t>
            </w:r>
          </w:p>
        </w:tc>
        <w:tc>
          <w:tcPr>
            <w:tcW w:type="dxa" w:w="5613"/>
          </w:tcPr>
          <w:p>
            <w:pPr>
              <w:spacing w:after="40"/>
            </w:pPr>
            <w:r/>
            <w:r>
              <w:rPr>
                <w:b w:val="0"/>
                <w:sz w:val="19"/>
              </w:rPr>
              <w:t>El verde indica evacuación y auxilio.</w:t>
            </w:r>
          </w:p>
        </w:tc>
      </w:tr>
      <w:tr>
        <w:trPr>
          <w:cantSplit w:val="true"/>
        </w:trPr>
        <w:tc>
          <w:tcPr>
            <w:tcW w:type="dxa" w:w="624"/>
          </w:tcPr>
          <w:p>
            <w:pPr>
              <w:spacing w:after="40"/>
            </w:pPr>
            <w:r/>
            <w:r>
              <w:rPr>
                <w:b/>
                <w:sz w:val="19"/>
              </w:rPr>
              <w:t>3</w:t>
            </w:r>
          </w:p>
        </w:tc>
        <w:tc>
          <w:tcPr>
            <w:tcW w:type="dxa" w:w="3402"/>
          </w:tcPr>
          <w:p>
            <w:pPr>
              <w:spacing w:after="40"/>
            </w:pPr>
            <w:r/>
            <w:r>
              <w:rPr>
                <w:b w:val="0"/>
                <w:sz w:val="19"/>
              </w:rPr>
              <w:t>B) Una advertencia de peligro</w:t>
            </w:r>
          </w:p>
        </w:tc>
        <w:tc>
          <w:tcPr>
            <w:tcW w:type="dxa" w:w="5613"/>
          </w:tcPr>
          <w:p>
            <w:pPr>
              <w:spacing w:after="40"/>
            </w:pPr>
            <w:r/>
            <w:r>
              <w:rPr>
                <w:b w:val="0"/>
                <w:sz w:val="19"/>
              </w:rPr>
              <w:t>Las señales de advertencia son triangulares, amarillas y con borde negro.</w:t>
            </w:r>
          </w:p>
        </w:tc>
      </w:tr>
      <w:tr>
        <w:trPr>
          <w:cantSplit w:val="true"/>
        </w:trPr>
        <w:tc>
          <w:tcPr>
            <w:tcW w:type="dxa" w:w="624"/>
          </w:tcPr>
          <w:p>
            <w:pPr>
              <w:spacing w:after="40"/>
            </w:pPr>
            <w:r/>
            <w:r>
              <w:rPr>
                <w:b/>
                <w:sz w:val="19"/>
              </w:rPr>
              <w:t>4</w:t>
            </w:r>
          </w:p>
        </w:tc>
        <w:tc>
          <w:tcPr>
            <w:tcW w:type="dxa" w:w="3402"/>
          </w:tcPr>
          <w:p>
            <w:pPr>
              <w:spacing w:after="40"/>
            </w:pPr>
            <w:r/>
            <w:r>
              <w:rPr>
                <w:b w:val="0"/>
                <w:sz w:val="19"/>
              </w:rPr>
              <w:t>A) Combustible, oxígeno y calor</w:t>
            </w:r>
          </w:p>
        </w:tc>
        <w:tc>
          <w:tcPr>
            <w:tcW w:type="dxa" w:w="5613"/>
          </w:tcPr>
          <w:p>
            <w:pPr>
              <w:spacing w:after="40"/>
            </w:pPr>
            <w:r/>
            <w:r>
              <w:rPr>
                <w:b w:val="0"/>
                <w:sz w:val="19"/>
              </w:rPr>
              <w:t>Si se retira uno de los tres elementos, el fuego se apaga.</w:t>
            </w:r>
          </w:p>
        </w:tc>
      </w:tr>
      <w:tr>
        <w:trPr>
          <w:cantSplit w:val="true"/>
        </w:trPr>
        <w:tc>
          <w:tcPr>
            <w:tcW w:type="dxa" w:w="624"/>
          </w:tcPr>
          <w:p>
            <w:pPr>
              <w:spacing w:after="40"/>
            </w:pPr>
            <w:r/>
            <w:r>
              <w:rPr>
                <w:b/>
                <w:sz w:val="19"/>
              </w:rPr>
              <w:t>5</w:t>
            </w:r>
          </w:p>
        </w:tc>
        <w:tc>
          <w:tcPr>
            <w:tcW w:type="dxa" w:w="3402"/>
          </w:tcPr>
          <w:p>
            <w:pPr>
              <w:spacing w:after="40"/>
            </w:pPr>
            <w:r/>
            <w:r>
              <w:rPr>
                <w:b w:val="0"/>
                <w:sz w:val="19"/>
              </w:rPr>
              <w:t>C) Agua</w:t>
            </w:r>
          </w:p>
        </w:tc>
        <w:tc>
          <w:tcPr>
            <w:tcW w:type="dxa" w:w="5613"/>
          </w:tcPr>
          <w:p>
            <w:pPr>
              <w:spacing w:after="40"/>
            </w:pPr>
            <w:r/>
            <w:r>
              <w:rPr>
                <w:b w:val="0"/>
                <w:sz w:val="19"/>
              </w:rPr>
              <w:t>El agua conduce la electricidad. Se usa CO2 o PQS.</w:t>
            </w:r>
          </w:p>
        </w:tc>
      </w:tr>
      <w:tr>
        <w:trPr>
          <w:cantSplit w:val="true"/>
        </w:trPr>
        <w:tc>
          <w:tcPr>
            <w:tcW w:type="dxa" w:w="624"/>
          </w:tcPr>
          <w:p>
            <w:pPr>
              <w:spacing w:after="40"/>
            </w:pPr>
            <w:r/>
            <w:r>
              <w:rPr>
                <w:b/>
                <w:sz w:val="19"/>
              </w:rPr>
              <w:t>6</w:t>
            </w:r>
          </w:p>
        </w:tc>
        <w:tc>
          <w:tcPr>
            <w:tcW w:type="dxa" w:w="3402"/>
          </w:tcPr>
          <w:p>
            <w:pPr>
              <w:spacing w:after="40"/>
            </w:pPr>
            <w:r/>
            <w:r>
              <w:rPr>
                <w:b w:val="0"/>
                <w:sz w:val="19"/>
              </w:rPr>
              <w:t>B) 1,30 m</w:t>
            </w:r>
          </w:p>
        </w:tc>
        <w:tc>
          <w:tcPr>
            <w:tcW w:type="dxa" w:w="5613"/>
          </w:tcPr>
          <w:p>
            <w:pPr>
              <w:spacing w:after="40"/>
            </w:pPr>
            <w:r/>
            <w:r>
              <w:rPr>
                <w:b w:val="0"/>
                <w:sz w:val="19"/>
              </w:rPr>
              <w:t>Así lo fija el art. 47 del DS 594.</w:t>
            </w:r>
          </w:p>
        </w:tc>
      </w:tr>
      <w:tr>
        <w:trPr>
          <w:cantSplit w:val="true"/>
        </w:trPr>
        <w:tc>
          <w:tcPr>
            <w:tcW w:type="dxa" w:w="624"/>
          </w:tcPr>
          <w:p>
            <w:pPr>
              <w:spacing w:after="40"/>
            </w:pPr>
            <w:r/>
            <w:r>
              <w:rPr>
                <w:b/>
                <w:sz w:val="19"/>
              </w:rPr>
              <w:t>7</w:t>
            </w:r>
          </w:p>
        </w:tc>
        <w:tc>
          <w:tcPr>
            <w:tcW w:type="dxa" w:w="3402"/>
          </w:tcPr>
          <w:p>
            <w:pPr>
              <w:spacing w:after="40"/>
            </w:pPr>
            <w:r/>
            <w:r>
              <w:rPr>
                <w:b w:val="0"/>
                <w:sz w:val="19"/>
              </w:rPr>
              <w:t>B) Una vez al año</w:t>
            </w:r>
          </w:p>
        </w:tc>
        <w:tc>
          <w:tcPr>
            <w:tcW w:type="dxa" w:w="5613"/>
          </w:tcPr>
          <w:p>
            <w:pPr>
              <w:spacing w:after="40"/>
            </w:pPr>
            <w:r/>
            <w:r>
              <w:rPr>
                <w:b w:val="0"/>
                <w:sz w:val="19"/>
              </w:rPr>
              <w:t>El art. 51 del DS 594 exige revisión y mantención al menos una vez al año.</w:t>
            </w:r>
          </w:p>
        </w:tc>
      </w:tr>
      <w:tr>
        <w:trPr>
          <w:cantSplit w:val="true"/>
        </w:trPr>
        <w:tc>
          <w:tcPr>
            <w:tcW w:type="dxa" w:w="624"/>
          </w:tcPr>
          <w:p>
            <w:pPr>
              <w:spacing w:after="40"/>
            </w:pPr>
            <w:r/>
            <w:r>
              <w:rPr>
                <w:b/>
                <w:sz w:val="19"/>
              </w:rPr>
              <w:t>8</w:t>
            </w:r>
          </w:p>
        </w:tc>
        <w:tc>
          <w:tcPr>
            <w:tcW w:type="dxa" w:w="3402"/>
          </w:tcPr>
          <w:p>
            <w:pPr>
              <w:spacing w:after="40"/>
            </w:pPr>
            <w:r/>
            <w:r>
              <w:rPr>
                <w:b w:val="0"/>
                <w:sz w:val="19"/>
              </w:rPr>
              <w:t>B) Es incipiente y hay una salida despejada a su espalda</w:t>
            </w:r>
          </w:p>
        </w:tc>
        <w:tc>
          <w:tcPr>
            <w:tcW w:type="dxa" w:w="5613"/>
          </w:tcPr>
          <w:p>
            <w:pPr>
              <w:spacing w:after="40"/>
            </w:pPr>
            <w:r/>
            <w:r>
              <w:rPr>
                <w:b w:val="0"/>
                <w:sz w:val="19"/>
              </w:rPr>
              <w:t>En cualquier otro caso se evacúa.</w:t>
            </w:r>
          </w:p>
        </w:tc>
      </w:tr>
      <w:tr>
        <w:trPr>
          <w:cantSplit w:val="true"/>
        </w:trPr>
        <w:tc>
          <w:tcPr>
            <w:tcW w:type="dxa" w:w="624"/>
          </w:tcPr>
          <w:p>
            <w:pPr>
              <w:spacing w:after="40"/>
            </w:pPr>
            <w:r/>
            <w:r>
              <w:rPr>
                <w:b/>
                <w:sz w:val="19"/>
              </w:rPr>
              <w:t>9</w:t>
            </w:r>
          </w:p>
        </w:tc>
        <w:tc>
          <w:tcPr>
            <w:tcW w:type="dxa" w:w="3402"/>
          </w:tcPr>
          <w:p>
            <w:pPr>
              <w:spacing w:after="40"/>
            </w:pPr>
            <w:r/>
            <w:r>
              <w:rPr>
                <w:b w:val="0"/>
                <w:sz w:val="19"/>
              </w:rPr>
              <w:t>B) 132</w:t>
            </w:r>
          </w:p>
        </w:tc>
        <w:tc>
          <w:tcPr>
            <w:tcW w:type="dxa" w:w="5613"/>
          </w:tcPr>
          <w:p>
            <w:pPr>
              <w:spacing w:after="40"/>
            </w:pPr>
            <w:r/>
            <w:r>
              <w:rPr>
                <w:b w:val="0"/>
                <w:sz w:val="19"/>
              </w:rPr>
              <w:t>Bomberos 132, Ambulancia 131 y Carabineros 133.</w:t>
            </w:r>
          </w:p>
        </w:tc>
      </w:tr>
    </w:tbl>
    <w:p>
      <w:pPr>
        <w:spacing w:before="120"/>
      </w:pPr>
      <w:r>
        <w:rPr>
          <w:b/>
        </w:rPr>
        <w:t xml:space="preserve">Pregunta de aplicación. </w:t>
      </w:r>
      <w:r>
        <w:t>Respuesta correcta si clasifica bien la señal por su forma y color (prohibición, advertencia, obligación, evacuación o equipo contra incendio) y describe la conducta que corresponde.</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C64"/>
        <w:sz w:val="17"/>
      </w:rPr>
      <w:t xml:space="preserve">VGZ-DESC-C8H-P · v2.0 · Material de libre uso · vigenza.cl · Página </w:t>
    </w:r>
    <w:r>
      <w:rPr>
        <w:color w:val="5F6C64"/>
        <w:sz w:val="17"/>
      </w:rPr>
      <w:fldChar w:fldCharType="begin"/>
      <w:instrText xml:space="preserve">PAGE</w:instrText>
      <w:fldChar w:fldCharType="end"/>
    </w:r>
    <w:r>
      <w:rPr>
        <w:color w:val="5F6C64"/>
        <w:sz w:val="17"/>
      </w:rPr>
      <w:t xml:space="preserve"> de </w:t>
    </w:r>
    <w:r>
      <w:rPr>
        <w:color w:val="5F6C64"/>
        <w:sz w:val="17"/>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Arial" w:hAnsi="Arial" w:eastAsia="Arial" w:cs="Arial"/>
      <w:b/>
      <w:bCs/>
      <w:color w:val="0F1A14"/>
      <w:sz w:val="32"/>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Arial" w:hAnsi="Arial" w:eastAsia="Arial" w:cs="Arial"/>
      <w:b/>
      <w:bCs/>
      <w:color w:val="0F1A14"/>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F1A1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Pautas de corrección</dc:title>
  <dc:subject/>
  <dc:creator>Vigenza</dc:creator>
  <cp:keywords/>
  <dc:description>generated by python-docx</dc:description>
  <cp:lastModifiedBy/>
  <cp:revision>1</cp:revision>
  <dcterms:created xsi:type="dcterms:W3CDTF">2013-12-23T23:15:00Z</dcterms:created>
  <dcterms:modified xsi:type="dcterms:W3CDTF">2013-12-23T23:15:00Z</dcterms:modified>
  <cp:category/>
</cp:coreProperties>
</file>